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jc w:val="left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</w:rPr>
        <w:t>附件</w:t>
      </w:r>
    </w:p>
    <w:p>
      <w:pPr>
        <w:spacing w:beforeLines="0" w:afterLines="0" w:line="580" w:lineRule="exact"/>
        <w:jc w:val="distribute"/>
        <w:rPr>
          <w:rFonts w:hint="eastAsia" w:ascii="CESI小标宋-GB2312" w:hAnsi="CESI小标宋-GB2312" w:eastAsia="CESI小标宋-GB2312"/>
          <w:color w:val="auto"/>
          <w:sz w:val="40"/>
          <w:szCs w:val="24"/>
        </w:rPr>
      </w:pPr>
    </w:p>
    <w:p>
      <w:pPr>
        <w:spacing w:beforeLines="0" w:afterLines="0" w:line="580" w:lineRule="exact"/>
        <w:jc w:val="center"/>
        <w:rPr>
          <w:rFonts w:hint="eastAsia" w:ascii="CESI小标宋-GB2312" w:hAnsi="CESI小标宋-GB2312" w:eastAsia="CESI小标宋-GB2312"/>
          <w:color w:val="auto"/>
          <w:sz w:val="40"/>
          <w:szCs w:val="24"/>
        </w:rPr>
      </w:pPr>
      <w:r>
        <w:rPr>
          <w:rFonts w:hint="eastAsia" w:ascii="CESI小标宋-GB2312" w:hAnsi="CESI小标宋-GB2312" w:eastAsia="CESI小标宋-GB2312"/>
          <w:color w:val="auto"/>
          <w:sz w:val="40"/>
          <w:szCs w:val="24"/>
          <w:lang w:val="en-US" w:eastAsia="zh-CN"/>
        </w:rPr>
        <w:t>人社局</w:t>
      </w:r>
      <w:r>
        <w:rPr>
          <w:rFonts w:hint="eastAsia" w:ascii="CESI小标宋-GB2312" w:hAnsi="CESI小标宋-GB2312" w:eastAsia="CESI小标宋-GB2312"/>
          <w:color w:val="auto"/>
          <w:sz w:val="40"/>
          <w:szCs w:val="24"/>
        </w:rPr>
        <w:t>2024年度行政执法统计年报</w:t>
      </w:r>
    </w:p>
    <w:p>
      <w:pPr>
        <w:spacing w:beforeLines="0" w:afterLines="0" w:line="580" w:lineRule="exact"/>
        <w:jc w:val="left"/>
        <w:rPr>
          <w:rFonts w:hint="eastAsia" w:ascii="国标楷体" w:hAnsi="国标楷体" w:eastAsia="国标楷体"/>
          <w:color w:val="auto"/>
          <w:sz w:val="21"/>
          <w:szCs w:val="21"/>
        </w:rPr>
      </w:pPr>
    </w:p>
    <w:p>
      <w:pPr>
        <w:spacing w:beforeLines="0" w:afterLines="0" w:line="580" w:lineRule="exact"/>
        <w:jc w:val="left"/>
        <w:rPr>
          <w:rFonts w:hint="default" w:ascii="国标楷体" w:hAnsi="国标楷体" w:eastAsia="国标楷体"/>
          <w:color w:val="auto"/>
          <w:sz w:val="32"/>
          <w:szCs w:val="24"/>
          <w:lang w:val="en-US" w:eastAsia="zh-CN"/>
        </w:rPr>
      </w:pPr>
      <w:r>
        <w:rPr>
          <w:rFonts w:hint="eastAsia" w:ascii="国标楷体" w:hAnsi="国标楷体" w:eastAsia="国标楷体"/>
          <w:color w:val="auto"/>
          <w:sz w:val="32"/>
          <w:szCs w:val="24"/>
        </w:rPr>
        <w:t>填报科室：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>基金股</w:t>
      </w:r>
      <w:r>
        <w:rPr>
          <w:rFonts w:hint="eastAsia" w:ascii="国标楷体" w:hAnsi="国标楷体" w:eastAsia="国标楷体"/>
          <w:color w:val="auto"/>
          <w:sz w:val="32"/>
          <w:szCs w:val="24"/>
        </w:rPr>
        <w:t xml:space="preserve">  填报人：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>陈灵</w:t>
      </w:r>
      <w:r>
        <w:rPr>
          <w:rFonts w:hint="eastAsia" w:ascii="国标楷体" w:hAnsi="国标楷体" w:eastAsia="国标楷体"/>
          <w:color w:val="auto"/>
          <w:sz w:val="32"/>
          <w:szCs w:val="24"/>
        </w:rPr>
        <w:t xml:space="preserve">    联系方式：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>8729778</w:t>
      </w:r>
    </w:p>
    <w:p>
      <w:pPr>
        <w:spacing w:beforeLines="0" w:afterLines="0" w:line="580" w:lineRule="exact"/>
        <w:jc w:val="left"/>
        <w:rPr>
          <w:rFonts w:hint="default" w:ascii="国标楷体" w:hAnsi="国标楷体" w:eastAsia="国标楷体"/>
          <w:color w:val="auto"/>
          <w:sz w:val="21"/>
          <w:szCs w:val="21"/>
        </w:rPr>
      </w:pPr>
    </w:p>
    <w:p>
      <w:pPr>
        <w:numPr>
          <w:ilvl w:val="0"/>
          <w:numId w:val="1"/>
        </w:numPr>
        <w:spacing w:beforeLines="0" w:afterLines="0" w:line="580" w:lineRule="exact"/>
        <w:ind w:firstLine="624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行政执法主体概况</w:t>
      </w:r>
    </w:p>
    <w:tbl>
      <w:tblPr>
        <w:tblStyle w:val="4"/>
        <w:tblpPr w:leftFromText="180" w:rightFromText="180" w:vertAnchor="text" w:horzAnchor="page" w:tblpX="1361" w:tblpY="30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88"/>
        <w:gridCol w:w="822"/>
        <w:gridCol w:w="892"/>
        <w:gridCol w:w="825"/>
        <w:gridCol w:w="981"/>
        <w:gridCol w:w="822"/>
        <w:gridCol w:w="852"/>
        <w:gridCol w:w="898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行政执法主体基本信息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行政机关（个）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授权组织（个）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受委托组织（个）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内设法制机构（个）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内设行政执法机构（个）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行政执法人员（人）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持证行政执法人员（人）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行政执法监督人员（人）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持证行政执法监督人员（人）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大冶市人力资源和社会保障局</w:t>
            </w:r>
            <w:bookmarkEnd w:id="0"/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ind w:firstLine="202" w:firstLineChars="100"/>
              <w:jc w:val="both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ind w:firstLine="404" w:firstLineChars="200"/>
              <w:jc w:val="both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 xml:space="preserve">0        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 xml:space="preserve"> 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04" w:firstLineChars="200"/>
        <w:textAlignment w:val="auto"/>
        <w:rPr>
          <w:rFonts w:hint="eastAsia" w:ascii="CESI黑体-GB2312" w:hAnsi="CESI黑体-GB2312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kern w:val="0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行政执法主体分为三类：即具有行政执法权的行政机关；法律、法规授权的具有管理公共事务职能的组织；受委托组织。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此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列除了统计数量，还要分别列明具体的单位名称。填报时可另附表说明。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行政执法人员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=持证行政执法人员+在执法岗的在职在编暂未办证人员，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行政执法监督人员是指本单位从事行政执法监督工作的人员，一般指本单位内设法制机构工作人员，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同一领导同一时间不能既是行政执法人员又是行政执法监督人员。</w:t>
      </w:r>
    </w:p>
    <w:p>
      <w:pPr>
        <w:spacing w:beforeLines="0" w:afterLines="0" w:line="580" w:lineRule="exact"/>
        <w:ind w:firstLine="624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黑体-GB2312" w:hAnsi="CESI黑体-GB2312" w:eastAsia="CESI黑体-GB2312"/>
          <w:color w:val="auto"/>
          <w:sz w:val="32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24"/>
        </w:rPr>
        <w:t>二、2024年度行政执法案件情况</w:t>
      </w:r>
    </w:p>
    <w:p>
      <w:pPr>
        <w:pStyle w:val="3"/>
        <w:spacing w:before="0" w:beforeLines="0" w:beforeAutospacing="0" w:after="0" w:afterLines="0" w:afterAutospacing="0" w:line="580" w:lineRule="exac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（一）2024年行政处罚实施情况统计表</w:t>
      </w:r>
    </w:p>
    <w:tbl>
      <w:tblPr>
        <w:tblStyle w:val="4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948"/>
        <w:gridCol w:w="619"/>
        <w:gridCol w:w="988"/>
        <w:gridCol w:w="1106"/>
        <w:gridCol w:w="825"/>
        <w:gridCol w:w="919"/>
        <w:gridCol w:w="919"/>
        <w:gridCol w:w="1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74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tabs>
                <w:tab w:val="left" w:pos="3082"/>
              </w:tabs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行政处罚实施数量（宗）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警告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通报批评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罚款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没收违法所得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没收非法财物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暂扣许可证件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降低资质等级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吊销许可证件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大冶市人力资源和社会保障局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限制开展生产经营活动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责令停产停业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责令关闭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限制从业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行政拘留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其他行政处罚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合计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（宗）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</w:rPr>
              <w:t>罚没金额（万元）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大冶市人力资源和社会保障局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7</w:t>
            </w:r>
          </w:p>
        </w:tc>
      </w:tr>
    </w:tbl>
    <w:p>
      <w:pPr>
        <w:pStyle w:val="3"/>
        <w:spacing w:before="0" w:beforeLines="0" w:beforeAutospacing="0" w:after="0" w:afterLines="0" w:afterAutospacing="0" w:line="300" w:lineRule="exact"/>
        <w:ind w:firstLine="404" w:firstLineChars="200"/>
        <w:jc w:val="both"/>
        <w:rPr>
          <w:rFonts w:hint="default" w:ascii="CESI仿宋-GB2312" w:hAnsi="CESI仿宋-GB2312" w:eastAsia="CESI仿宋-GB2312"/>
          <w:b/>
          <w:bCs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1.行政处罚实施数量的统计范围为统计年度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行政处罚决定的数量。2.单处一个类别行政处罚的，计入相应的行政处罚类别；并处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两种以上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行政处罚的，算一宗行政处罚，计入表格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排序在后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行政处罚类别。如“没收违法所得，并处罚款”，计入“没收违法所得”类别；并处明确类别的行政处罚和其他行政处罚的，计入明确类别的行政处罚，如“处罚款，并处其他行政处罚”，计入“罚款”类别。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3.“没收非法财物”能通过评估、拍卖等手段确定金额的，计入“罚没金额”；不能确定金额的，不计入“罚没金额”。</w:t>
      </w:r>
      <w:r>
        <w:rPr>
          <w:rFonts w:hint="eastAsia" w:ascii="仿宋_GB2312" w:hAnsi="仿宋_GB2312" w:eastAsia="仿宋_GB2312"/>
          <w:color w:val="auto"/>
          <w:sz w:val="21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.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“罚没金额”以处罚决定书确定的金额为准。</w:t>
      </w:r>
    </w:p>
    <w:p>
      <w:pPr>
        <w:pStyle w:val="3"/>
        <w:spacing w:before="180" w:beforeLines="0" w:beforeAutospacing="0" w:after="0" w:afterLines="0" w:afterAutospacing="0" w:line="368" w:lineRule="atLeas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（二）2024年行政许可实施情况统计表</w:t>
      </w:r>
    </w:p>
    <w:tbl>
      <w:tblPr>
        <w:tblStyle w:val="4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69"/>
        <w:gridCol w:w="1300"/>
        <w:gridCol w:w="1320"/>
        <w:gridCol w:w="1514"/>
        <w:gridCol w:w="1420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spacing w:before="0" w:beforeLines="0" w:beforeAutospacing="0" w:after="0" w:afterLines="0" w:afterAutospacing="0" w:line="420" w:lineRule="exact"/>
              <w:jc w:val="center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行政许可实施数量（宗）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申请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受理数量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许可数量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不予许可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撤销许可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  <w:t>大冶市人力资源和社会保障局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default" w:ascii="CESI仿宋-GB2312" w:hAnsi="CESI仿宋-GB2312" w:eastAsia="仿宋_GB2312"/>
          <w:color w:val="auto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1.“申请数量”的统计范围为统计年度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收到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当事人许可申请的数量。2.“受理数量”、“许可数量”、“不予许可数量”、“撤销许可数量”的统计范围为统计年度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受理决定、许可决定、不予许可决定和撤销许可决定的数量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申请数量大于或等于受理数量，受理数量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=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许可数量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+不予许可数量。</w:t>
      </w:r>
    </w:p>
    <w:p>
      <w:pPr>
        <w:pStyle w:val="3"/>
        <w:spacing w:before="180" w:beforeLines="0" w:beforeAutospacing="0" w:after="0" w:afterLines="0" w:afterAutospacing="0" w:line="368" w:lineRule="atLeas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（三）2024年行政强制实施情况统计表</w:t>
      </w:r>
      <w:r>
        <w:rPr>
          <w:rStyle w:val="6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4"/>
        <w:tblW w:w="93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730"/>
        <w:gridCol w:w="643"/>
        <w:gridCol w:w="685"/>
        <w:gridCol w:w="683"/>
        <w:gridCol w:w="578"/>
        <w:gridCol w:w="725"/>
        <w:gridCol w:w="937"/>
        <w:gridCol w:w="738"/>
        <w:gridCol w:w="596"/>
        <w:gridCol w:w="580"/>
        <w:gridCol w:w="687"/>
        <w:gridCol w:w="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9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274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查封场所、设施或者财物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扣押财物</w:t>
            </w: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冻结存款、汇款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其他行政强制措施</w:t>
            </w:r>
          </w:p>
        </w:tc>
        <w:tc>
          <w:tcPr>
            <w:tcW w:w="4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行政机关强制执行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申请法院强制执行</w:t>
            </w: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9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加处罚款或者滞纳金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划拨存款、汇款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拍卖或者依法处理查封、扣押的场所、设施或者财物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排除妨碍、恢复原状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代履行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其他强制执行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大冶市人力资源和社会保障局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eastAsia" w:ascii="仿宋_GB2312" w:hAnsi="仿宋_GB2312" w:eastAsia="仿宋_GB2312"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1.“行政强制措施实施数量”的统计范围为统计年度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的表格所列各类行政强制措施决定的数量。2.“行政强制执行实施数量” 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期间表格所列各类行政强制执行行为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执行完毕或者终结执行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的数量。3.“申请法院强制执行”数量的统计范围为统计年度1月1日至12月31日期间向法院申请强制执行的数量，时间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以申请日期为准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。</w:t>
      </w:r>
    </w:p>
    <w:p>
      <w:pPr>
        <w:pStyle w:val="3"/>
        <w:spacing w:before="0" w:beforeLines="0" w:beforeAutospacing="0" w:after="0" w:afterLines="0" w:afterAutospacing="0" w:line="360" w:lineRule="exac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（四）2024年行政检查实施情况统计表</w:t>
      </w:r>
      <w:r>
        <w:rPr>
          <w:rStyle w:val="6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4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866"/>
        <w:gridCol w:w="727"/>
        <w:gridCol w:w="747"/>
        <w:gridCol w:w="813"/>
        <w:gridCol w:w="840"/>
        <w:gridCol w:w="740"/>
        <w:gridCol w:w="753"/>
        <w:gridCol w:w="734"/>
        <w:gridCol w:w="720"/>
        <w:gridCol w:w="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81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涉企行政执法检查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发现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问题（个）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问题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整改（个）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双随机一公开（次）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非现场检查（次）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综合查一次（次）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联合检查（次）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专项检查（次）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其他（次）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8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大冶市人力资源和社会保障局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37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37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22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14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</w:tr>
    </w:tbl>
    <w:p>
      <w:pPr>
        <w:pStyle w:val="3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行政检查计划次数是具有行政检查权的行政执法主体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拟定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开展行政检查活动计划次数，行政检查实施是指具有行政检查权的行政执法主体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实际组织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开展的行政检查活动次数。“行政检查次数”的统计范围为统计年度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期间开展行政检查的次数；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检查1个检查对象，有完整、详细检查记录的，计为检查1次；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无特定检查对象的巡查、巡逻，无完整、详细检查记录，检查后作出行政处罚等其他行政执法行为的，</w:t>
      </w:r>
      <w:r>
        <w:rPr>
          <w:rFonts w:hint="eastAsia" w:ascii="仿宋_GB2312" w:hAnsi="仿宋_GB2312" w:eastAsia="仿宋_GB2312"/>
          <w:b w:val="0"/>
          <w:bCs w:val="0"/>
          <w:color w:val="auto"/>
          <w:sz w:val="21"/>
          <w:szCs w:val="24"/>
        </w:rPr>
        <w:t>均不计为检查次数。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综合查一次侧重于检查频次，联合检查侧重于检查主体的多部门联合。</w:t>
      </w:r>
      <w:r>
        <w:rPr>
          <w:rFonts w:hint="eastAsia" w:ascii="CESI楷体-GB2312" w:hAnsi="CESI楷体-GB2312" w:eastAsia="CESI楷体-GB2312"/>
          <w:b/>
          <w:bCs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（五）2024年其他行政执法行为实施情况统计表</w:t>
      </w:r>
    </w:p>
    <w:tbl>
      <w:tblPr>
        <w:tblStyle w:val="4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412"/>
        <w:gridCol w:w="1071"/>
        <w:gridCol w:w="420"/>
        <w:gridCol w:w="1029"/>
        <w:gridCol w:w="334"/>
        <w:gridCol w:w="1063"/>
        <w:gridCol w:w="625"/>
        <w:gridCol w:w="480"/>
        <w:gridCol w:w="1038"/>
        <w:gridCol w:w="796"/>
        <w:gridCol w:w="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行政征收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行政裁决</w:t>
            </w:r>
          </w:p>
        </w:tc>
        <w:tc>
          <w:tcPr>
            <w:tcW w:w="13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行政给付</w:t>
            </w:r>
          </w:p>
        </w:tc>
        <w:tc>
          <w:tcPr>
            <w:tcW w:w="6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行政确认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行政奖励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pacing w:val="-16"/>
                <w:w w:val="96"/>
                <w:sz w:val="21"/>
                <w:szCs w:val="24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spacing w:beforeLines="0" w:afterLines="0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征收总金额（万元）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涉及金额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（万元）</w:t>
            </w:r>
          </w:p>
        </w:tc>
        <w:tc>
          <w:tcPr>
            <w:tcW w:w="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给付总金额（万元）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奖励总金额（万元）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6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大冶市人力资源和社会保障局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810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6"/>
                <w:rFonts w:hint="default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</w:pPr>
            <w:r>
              <w:rPr>
                <w:rStyle w:val="6"/>
                <w:rFonts w:hint="eastAsia" w:ascii="CESI黑体-GB2312" w:hAnsi="CESI黑体-GB2312" w:eastAsia="CESI黑体-GB2312" w:cstheme="minorBidi"/>
                <w:b w:val="0"/>
                <w:color w:val="auto"/>
                <w:sz w:val="21"/>
                <w:szCs w:val="24"/>
                <w:lang w:val="en-US" w:eastAsia="zh-CN"/>
              </w:rPr>
              <w:t>810</w:t>
            </w:r>
          </w:p>
        </w:tc>
      </w:tr>
    </w:tbl>
    <w:p>
      <w:pPr>
        <w:spacing w:beforeLines="0" w:afterLines="0" w:line="140" w:lineRule="exact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>
      <w:pPr>
        <w:spacing w:beforeLines="0" w:afterLines="0" w:line="360" w:lineRule="exact"/>
        <w:ind w:firstLine="404" w:firstLineChars="200"/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1.“行政征收次数”的统计范围为统计年度1月1日至12月31日期间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征收完毕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的数量。2.“行政裁决宗数”、“行政确认宗数”、“行政奖励宗数”的统计范围为统计年度1月1日至12月31日期间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决定的数量。3.“行政给付宗数”的统计范围为统计年度1月1日至12月31日期间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给付完毕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的数量。4.“其他行政执法行为”的统计范围为统计年度1月1日至12月31日期间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完成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的宗数。“其他行政执法行为”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指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行政备案、行政征用等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</w:p>
    <w:p>
      <w:pPr>
        <w:spacing w:beforeLines="0" w:afterLines="0" w:line="360" w:lineRule="exact"/>
        <w:ind w:firstLine="624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24"/>
        </w:rPr>
        <w:t>三、2024年度行政执法投诉、举报案件情况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2024年我局接到举报投诉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83件，已办结83件，办结率100%。</w:t>
      </w:r>
    </w:p>
    <w:p>
      <w:pPr>
        <w:numPr>
          <w:ilvl w:val="0"/>
          <w:numId w:val="2"/>
        </w:numPr>
        <w:spacing w:beforeLines="0" w:afterLines="0"/>
        <w:ind w:firstLine="624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其他需要公示的统计数据</w:t>
      </w:r>
    </w:p>
    <w:p>
      <w:pPr>
        <w:numPr>
          <w:ilvl w:val="0"/>
          <w:numId w:val="0"/>
        </w:numPr>
        <w:spacing w:beforeLines="0" w:afterLines="0"/>
        <w:ind w:firstLine="1248" w:firstLineChars="400"/>
        <w:rPr>
          <w:rFonts w:hint="eastAsia" w:ascii="CESI仿宋-GB2312" w:hAnsi="CESI仿宋-GB2312" w:eastAsia="CESI仿宋-GB2312"/>
          <w:color w:val="auto"/>
          <w:sz w:val="32"/>
          <w:szCs w:val="24"/>
          <w:lang w:val="en-US" w:eastAsia="zh-CN"/>
        </w:rPr>
      </w:pPr>
      <w:r>
        <w:rPr>
          <w:rFonts w:hint="eastAsia" w:ascii="CESI仿宋-GB2312" w:hAnsi="CESI仿宋-GB2312" w:eastAsia="CESI仿宋-GB2312"/>
          <w:color w:val="auto"/>
          <w:sz w:val="32"/>
          <w:szCs w:val="24"/>
          <w:lang w:val="en-US" w:eastAsia="zh-CN"/>
        </w:rPr>
        <w:t>无</w:t>
      </w:r>
    </w:p>
    <w:p>
      <w:pPr>
        <w:numPr>
          <w:ilvl w:val="0"/>
          <w:numId w:val="0"/>
        </w:numPr>
        <w:spacing w:beforeLines="0" w:afterLines="0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>
      <w:pPr>
        <w:numPr>
          <w:ilvl w:val="0"/>
          <w:numId w:val="0"/>
        </w:numPr>
        <w:spacing w:beforeLines="0" w:afterLines="0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>
      <w:pPr>
        <w:wordWrap w:val="0"/>
        <w:spacing w:beforeLines="0" w:afterLines="0"/>
        <w:jc w:val="right"/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大冶市人力资源和社会保障局</w:t>
      </w:r>
    </w:p>
    <w:p>
      <w:pPr>
        <w:wordWrap w:val="0"/>
        <w:spacing w:beforeLines="0" w:afterLines="0"/>
        <w:jc w:val="righ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                     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20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日      </w:t>
      </w:r>
    </w:p>
    <w:p>
      <w:pPr>
        <w:spacing w:beforeLines="0" w:afterLines="0"/>
        <w:rPr>
          <w:rFonts w:hint="default"/>
          <w:color w:val="auto"/>
          <w:sz w:val="32"/>
          <w:szCs w:val="24"/>
        </w:rPr>
      </w:pPr>
    </w:p>
    <w:p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/>
    <w:sectPr>
      <w:footerReference r:id="rId3" w:type="default"/>
      <w:pgSz w:w="11906" w:h="16838"/>
      <w:pgMar w:top="2098" w:right="1587" w:bottom="153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857AB"/>
    <w:multiLevelType w:val="multilevel"/>
    <w:tmpl w:val="F69857AB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67BD90E3"/>
    <w:multiLevelType w:val="multilevel"/>
    <w:tmpl w:val="67BD90E3"/>
    <w:lvl w:ilvl="0" w:tentative="0">
      <w:start w:val="4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TQ3NzMyNjE3NWNkMjFiNDBiNzEwYWNjYjFkZjQifQ=="/>
    <w:docVar w:name="KSO_WPS_MARK_KEY" w:val="3dd56328-535e-4e52-a079-9daa0c2b5ab4"/>
  </w:docVars>
  <w:rsids>
    <w:rsidRoot w:val="283410E1"/>
    <w:rsid w:val="04532D85"/>
    <w:rsid w:val="05784534"/>
    <w:rsid w:val="067B3A34"/>
    <w:rsid w:val="06824DC3"/>
    <w:rsid w:val="071F6AB6"/>
    <w:rsid w:val="08E05D18"/>
    <w:rsid w:val="09023F99"/>
    <w:rsid w:val="097906FF"/>
    <w:rsid w:val="0B154457"/>
    <w:rsid w:val="0B1F52D6"/>
    <w:rsid w:val="0B6727D9"/>
    <w:rsid w:val="0C6F7B97"/>
    <w:rsid w:val="0CAA5073"/>
    <w:rsid w:val="0EFA4090"/>
    <w:rsid w:val="10C06C14"/>
    <w:rsid w:val="11CC15E8"/>
    <w:rsid w:val="122431D2"/>
    <w:rsid w:val="13646240"/>
    <w:rsid w:val="13ED41C3"/>
    <w:rsid w:val="1662251B"/>
    <w:rsid w:val="16EA2C3C"/>
    <w:rsid w:val="18BE612E"/>
    <w:rsid w:val="1A22449B"/>
    <w:rsid w:val="1A472154"/>
    <w:rsid w:val="1AAC1FB7"/>
    <w:rsid w:val="1D003CA6"/>
    <w:rsid w:val="1D594678"/>
    <w:rsid w:val="1FA92F69"/>
    <w:rsid w:val="1FFC6FBF"/>
    <w:rsid w:val="208760CF"/>
    <w:rsid w:val="21056B7A"/>
    <w:rsid w:val="218B0797"/>
    <w:rsid w:val="2241392C"/>
    <w:rsid w:val="22F95FB5"/>
    <w:rsid w:val="2446347C"/>
    <w:rsid w:val="250255F5"/>
    <w:rsid w:val="283410E1"/>
    <w:rsid w:val="298F31CF"/>
    <w:rsid w:val="2ADC2444"/>
    <w:rsid w:val="2C212804"/>
    <w:rsid w:val="2CAD4098"/>
    <w:rsid w:val="2CB216AE"/>
    <w:rsid w:val="2FFB336C"/>
    <w:rsid w:val="301D7787"/>
    <w:rsid w:val="3216448E"/>
    <w:rsid w:val="33613E2E"/>
    <w:rsid w:val="33DB773D"/>
    <w:rsid w:val="35E36D7D"/>
    <w:rsid w:val="38563836"/>
    <w:rsid w:val="3A4A4FFE"/>
    <w:rsid w:val="3D874491"/>
    <w:rsid w:val="3E263871"/>
    <w:rsid w:val="3EE55913"/>
    <w:rsid w:val="42220C2D"/>
    <w:rsid w:val="467F03FC"/>
    <w:rsid w:val="46D548C3"/>
    <w:rsid w:val="48677399"/>
    <w:rsid w:val="492928A1"/>
    <w:rsid w:val="49AF0FF8"/>
    <w:rsid w:val="49B155E8"/>
    <w:rsid w:val="4A6B6BAE"/>
    <w:rsid w:val="4C0A4C0B"/>
    <w:rsid w:val="4CEF5BAF"/>
    <w:rsid w:val="4ECC61A8"/>
    <w:rsid w:val="5133250E"/>
    <w:rsid w:val="52742DDF"/>
    <w:rsid w:val="528015B6"/>
    <w:rsid w:val="533B38FC"/>
    <w:rsid w:val="53826F9C"/>
    <w:rsid w:val="54DE6C35"/>
    <w:rsid w:val="561548D9"/>
    <w:rsid w:val="56D3069F"/>
    <w:rsid w:val="57AD7834"/>
    <w:rsid w:val="57CA34A1"/>
    <w:rsid w:val="57D61E46"/>
    <w:rsid w:val="57EF2F07"/>
    <w:rsid w:val="58726012"/>
    <w:rsid w:val="588E0972"/>
    <w:rsid w:val="58B274F0"/>
    <w:rsid w:val="59123351"/>
    <w:rsid w:val="5B1A029B"/>
    <w:rsid w:val="5C45759A"/>
    <w:rsid w:val="5D6121B1"/>
    <w:rsid w:val="5E4D0988"/>
    <w:rsid w:val="5E856373"/>
    <w:rsid w:val="5EBF3633"/>
    <w:rsid w:val="5F5F6ACE"/>
    <w:rsid w:val="5F9F3465"/>
    <w:rsid w:val="613320B7"/>
    <w:rsid w:val="61EF2482"/>
    <w:rsid w:val="62854B94"/>
    <w:rsid w:val="6367429A"/>
    <w:rsid w:val="63B05C41"/>
    <w:rsid w:val="63C4349A"/>
    <w:rsid w:val="6664623E"/>
    <w:rsid w:val="6705550C"/>
    <w:rsid w:val="690D7691"/>
    <w:rsid w:val="6A0D5B9B"/>
    <w:rsid w:val="6A440E91"/>
    <w:rsid w:val="6C691082"/>
    <w:rsid w:val="6CA81BAB"/>
    <w:rsid w:val="6E3A4A84"/>
    <w:rsid w:val="6EFE1F56"/>
    <w:rsid w:val="70C8281B"/>
    <w:rsid w:val="71AD1A11"/>
    <w:rsid w:val="7298621E"/>
    <w:rsid w:val="730E4732"/>
    <w:rsid w:val="74890514"/>
    <w:rsid w:val="753C7334"/>
    <w:rsid w:val="76375D4D"/>
    <w:rsid w:val="78970267"/>
    <w:rsid w:val="78CD30FF"/>
    <w:rsid w:val="796B468C"/>
    <w:rsid w:val="79AA1BD9"/>
    <w:rsid w:val="7A081EDB"/>
    <w:rsid w:val="7A0847C2"/>
    <w:rsid w:val="7A0B5527"/>
    <w:rsid w:val="7B9D2AF7"/>
    <w:rsid w:val="7C907F65"/>
    <w:rsid w:val="7D371085"/>
    <w:rsid w:val="7E77762F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/>
      <w:sz w:val="18"/>
      <w:szCs w:val="24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6">
    <w:name w:val="Strong"/>
    <w:basedOn w:val="5"/>
    <w:unhideWhenUsed/>
    <w:qFormat/>
    <w:uiPriority w:val="0"/>
    <w:rPr>
      <w:rFonts w:hint="default" w:ascii="Calibri" w:hAnsi="Calibri" w:eastAsia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2318</Words>
  <Characters>2415</Characters>
  <Lines>0</Lines>
  <Paragraphs>0</Paragraphs>
  <TotalTime>52</TotalTime>
  <ScaleCrop>false</ScaleCrop>
  <LinksUpToDate>false</LinksUpToDate>
  <CharactersWithSpaces>2466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2025-01-17T02:56:00Z</dcterms:created>
  <dc:creator>Administrator</dc:creator>
  <cp:lastModifiedBy>Administrator</cp:lastModifiedBy>
  <cp:lastPrinted>2025-01-26T03:11:00Z</cp:lastPrinted>
  <dcterms:modified xsi:type="dcterms:W3CDTF">2025-01-26T03:16:04Z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5BE4A861D82642D3B67F9F86377925DB_11</vt:lpwstr>
  </property>
</Properties>
</file>