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left"/>
        <w:rPr>
          <w:rFonts w:ascii="Arial" w:hAnsi="Arial" w:eastAsia="宋体" w:cs="Arial"/>
          <w:color w:val="000000"/>
          <w:kern w:val="0"/>
          <w:sz w:val="27"/>
          <w:szCs w:val="27"/>
        </w:rPr>
      </w:pPr>
      <w:bookmarkStart w:id="0" w:name="_GoBack"/>
      <w:bookmarkEnd w:id="0"/>
      <w:r>
        <w:rPr>
          <w:rFonts w:hint="eastAsia" w:ascii="黑体" w:hAnsi="黑体" w:eastAsia="黑体" w:cs="Arial"/>
          <w:color w:val="000000"/>
          <w:kern w:val="0"/>
          <w:sz w:val="32"/>
          <w:szCs w:val="32"/>
        </w:rPr>
        <w:t>附件1</w:t>
      </w:r>
    </w:p>
    <w:p>
      <w:pPr>
        <w:widowControl/>
        <w:spacing w:line="520" w:lineRule="atLeast"/>
        <w:jc w:val="center"/>
        <w:rPr>
          <w:rFonts w:ascii="Arial" w:hAnsi="Arial" w:eastAsia="宋体" w:cs="Arial"/>
          <w:color w:val="000000"/>
          <w:kern w:val="0"/>
          <w:sz w:val="27"/>
          <w:szCs w:val="27"/>
        </w:rPr>
      </w:pPr>
      <w:r>
        <w:rPr>
          <w:rFonts w:hint="eastAsia" w:ascii="方正小标宋简体" w:hAnsi="Arial" w:eastAsia="方正小标宋简体" w:cs="Arial"/>
          <w:color w:val="000000"/>
          <w:kern w:val="0"/>
          <w:sz w:val="44"/>
          <w:szCs w:val="44"/>
        </w:rPr>
        <w:t> </w:t>
      </w:r>
    </w:p>
    <w:p>
      <w:pPr>
        <w:widowControl/>
        <w:spacing w:line="520" w:lineRule="atLeast"/>
        <w:jc w:val="center"/>
        <w:rPr>
          <w:rFonts w:ascii="方正小标宋简体" w:hAnsi="Arial" w:eastAsia="方正小标宋简体" w:cs="Arial"/>
          <w:color w:val="000000"/>
          <w:kern w:val="0"/>
          <w:sz w:val="44"/>
          <w:szCs w:val="44"/>
        </w:rPr>
      </w:pPr>
      <w:r>
        <w:rPr>
          <w:rFonts w:hint="eastAsia" w:ascii="方正小标宋简体" w:hAnsi="Arial" w:eastAsia="方正小标宋简体" w:cs="Arial"/>
          <w:color w:val="000000"/>
          <w:kern w:val="0"/>
          <w:sz w:val="44"/>
          <w:szCs w:val="44"/>
        </w:rPr>
        <w:t>大冶市原水产局整合地块房屋征收</w:t>
      </w:r>
    </w:p>
    <w:p>
      <w:pPr>
        <w:widowControl/>
        <w:spacing w:line="520" w:lineRule="atLeast"/>
        <w:jc w:val="center"/>
        <w:rPr>
          <w:rFonts w:ascii="方正小标宋简体" w:hAnsi="Arial" w:eastAsia="方正小标宋简体" w:cs="Arial"/>
          <w:color w:val="000000"/>
          <w:kern w:val="0"/>
          <w:sz w:val="44"/>
          <w:szCs w:val="44"/>
        </w:rPr>
      </w:pPr>
      <w:r>
        <w:rPr>
          <w:rFonts w:hint="eastAsia" w:ascii="方正小标宋简体" w:hAnsi="Arial" w:eastAsia="方正小标宋简体" w:cs="Arial"/>
          <w:color w:val="000000"/>
          <w:kern w:val="0"/>
          <w:sz w:val="44"/>
          <w:szCs w:val="44"/>
        </w:rPr>
        <w:t>补偿方案</w:t>
      </w:r>
    </w:p>
    <w:p>
      <w:pPr>
        <w:widowControl/>
        <w:spacing w:line="520" w:lineRule="atLeast"/>
        <w:ind w:firstLine="420"/>
        <w:jc w:val="left"/>
        <w:rPr>
          <w:rFonts w:ascii="Arial" w:hAnsi="Arial" w:eastAsia="宋体" w:cs="Arial"/>
          <w:color w:val="000000"/>
          <w:kern w:val="0"/>
          <w:sz w:val="27"/>
          <w:szCs w:val="27"/>
        </w:rPr>
      </w:pPr>
      <w:r>
        <w:rPr>
          <w:rFonts w:hint="eastAsia" w:ascii="仿宋" w:hAnsi="仿宋" w:eastAsia="仿宋" w:cs="Arial"/>
          <w:color w:val="000000"/>
          <w:kern w:val="0"/>
          <w:sz w:val="27"/>
          <w:szCs w:val="27"/>
        </w:rPr>
        <w:t> </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根据《国有土地上房屋征收与补偿条例》（国务院令第590号）、《大冶市国有土地上房屋征收与补偿实施细则》（大冶政规〔2023〕1号）等相关政策法规，为推进旧城改造更新，完善城市功能，大冶市人民政府对原水产局整合地块范围内的房屋实施征收，结合本区域实际情况，制定本方案</w:t>
      </w:r>
      <w:r>
        <w:rPr>
          <w:rFonts w:hint="eastAsia" w:ascii="仿宋_GB2312" w:hAnsi="Arial" w:eastAsia="仿宋_GB2312" w:cs="Arial"/>
          <w:color w:val="000000"/>
          <w:kern w:val="0"/>
          <w:sz w:val="32"/>
          <w:szCs w:val="32"/>
          <w:shd w:val="clear" w:color="auto" w:fill="FFFFFF"/>
        </w:rPr>
        <w:t>。</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一、征收范围</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征收范围为老东街路东侧、向阳巷南侧、渔民新村小区西侧、杉树排路北侧原市水产局、人民医院、妇幼保健院、保安湖开发公司、原三里七渔场等单位办公楼及住宅楼，土地面积约17.71亩，房屋建筑面积约14038.27</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，被征收户数</w:t>
      </w:r>
      <w:r>
        <w:rPr>
          <w:rFonts w:hint="eastAsia" w:ascii="仿宋_GB2312" w:hAnsi="Arial" w:eastAsia="仿宋_GB2312" w:cs="Arial"/>
          <w:color w:val="000000"/>
          <w:kern w:val="0"/>
          <w:sz w:val="32"/>
          <w:szCs w:val="32"/>
        </w:rPr>
        <w:t>110户（具体征收范围以征收红线图为准）。</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二、征收组织实施机构</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（一）房屋征收主体：</w:t>
      </w:r>
      <w:r>
        <w:rPr>
          <w:rFonts w:hint="eastAsia" w:ascii="仿宋_GB2312" w:hAnsi="Arial" w:eastAsia="仿宋_GB2312" w:cs="Arial"/>
          <w:color w:val="000000"/>
          <w:kern w:val="0"/>
          <w:sz w:val="32"/>
          <w:szCs w:val="32"/>
        </w:rPr>
        <w:t>大冶市人民政府；</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（二）房屋征收部门：</w:t>
      </w:r>
      <w:r>
        <w:rPr>
          <w:rFonts w:hint="eastAsia" w:ascii="仿宋_GB2312" w:hAnsi="Arial" w:eastAsia="仿宋_GB2312" w:cs="Arial"/>
          <w:color w:val="000000"/>
          <w:kern w:val="0"/>
          <w:sz w:val="32"/>
          <w:szCs w:val="32"/>
        </w:rPr>
        <w:t>大冶市住房和城乡建设局、大冶市自然资源和规划局；</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（三）征收实施单位：</w:t>
      </w:r>
      <w:r>
        <w:rPr>
          <w:rFonts w:hint="eastAsia" w:ascii="仿宋_GB2312" w:hAnsi="Arial" w:eastAsia="仿宋_GB2312" w:cs="Arial"/>
          <w:color w:val="000000"/>
          <w:kern w:val="0"/>
          <w:sz w:val="32"/>
          <w:szCs w:val="32"/>
        </w:rPr>
        <w:t>大冶市东岳路街道办事处、湖北保安湖国家湿地公园管理委员会、大冶市农业农村局、大冶市卫生健康局。</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三、征收实施时间</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征收签约期限为30天，具体期限以房屋征收决定公告载明的期限为准。</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四、征收房屋建筑面积和性质认定</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对已登记的房屋，房屋用途以证载登记的内容为准，房屋建筑面积以实测建筑面积为准。单位处置房屋建筑面积以原处置单位认定的建筑面积为准。附属房建筑面积以实测建筑面积为准。</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五、征收补偿方式及标准</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个人房屋实行货币补偿、产权调换两种方式；国有房屋实行货币补偿方式。被征收房屋的价值由评估机构评估确定，被征收房屋价值包括房屋基准价值与装饰装修价值。</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（一）个人房屋</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1. 住宅房屋</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（1）货币补偿。房屋被征收人选择货币补偿的，根据房屋评估价值给予货币补偿。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（2）产权调换。产权调换按原房屋建筑面积1:1标准实行就地调换住宅房屋，按照就近靠档的原则，选择一套与被征收房屋面积相近的户型。产权调换房屋建筑面积超出应调换面积10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（含</w:t>
      </w:r>
      <w:r>
        <w:rPr>
          <w:rFonts w:hint="eastAsia" w:ascii="仿宋_GB2312" w:hAnsi="Arial" w:eastAsia="仿宋_GB2312" w:cs="Arial"/>
          <w:color w:val="000000"/>
          <w:kern w:val="0"/>
          <w:sz w:val="32"/>
          <w:szCs w:val="32"/>
        </w:rPr>
        <w:t>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）以内的部分，按</w:t>
      </w:r>
      <w:r>
        <w:rPr>
          <w:rFonts w:hint="eastAsia" w:ascii="仿宋_GB2312" w:hAnsi="Arial" w:eastAsia="仿宋_GB2312" w:cs="Arial"/>
          <w:color w:val="000000"/>
          <w:kern w:val="0"/>
          <w:sz w:val="32"/>
          <w:szCs w:val="32"/>
        </w:rPr>
        <w:t>3500元/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结算房价款；</w:t>
      </w:r>
      <w:r>
        <w:rPr>
          <w:rFonts w:hint="eastAsia" w:ascii="仿宋_GB2312" w:hAnsi="Arial" w:eastAsia="仿宋_GB2312" w:cs="Arial"/>
          <w:color w:val="000000"/>
          <w:kern w:val="0"/>
          <w:sz w:val="32"/>
          <w:szCs w:val="32"/>
        </w:rPr>
        <w:t>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（含</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）的部分，按照</w:t>
      </w:r>
      <w:r>
        <w:rPr>
          <w:rFonts w:hint="eastAsia" w:ascii="仿宋_GB2312" w:hAnsi="Arial" w:eastAsia="仿宋_GB2312" w:cs="Arial"/>
          <w:color w:val="000000"/>
          <w:kern w:val="0"/>
          <w:sz w:val="32"/>
          <w:szCs w:val="32"/>
        </w:rPr>
        <w:t>4500元/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结算房价款；</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上的部分，按照一房一价表结算房屋价款。产权调换房屋面积小于应调换面积的部分，由征收部门按照该部分被征收房屋评估价值给予被征收人货币补偿。产权调换房屋在交付时，被征收人一次性缴清超面积房款，具体结算支付在补偿协议中明确约定</w:t>
      </w:r>
      <w:r>
        <w:rPr>
          <w:rFonts w:hint="eastAsia" w:ascii="仿宋_GB2312" w:hAnsi="Arial" w:eastAsia="仿宋_GB2312" w:cs="Arial"/>
          <w:color w:val="000000"/>
          <w:kern w:val="0"/>
          <w:sz w:val="32"/>
          <w:szCs w:val="32"/>
        </w:rPr>
        <w:t>。</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2. 商业用房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（1）货币补偿。房屋被征收人选择货币补偿的，根据房屋评估价值给予货币补偿。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（2）产权调换。产权调换按原房屋建筑面积1:1标准实行就地调换商业用房，选择楼层及用途相同、面积相近的户型。产权调换建筑面积超出应调换面积10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（含</w:t>
      </w:r>
      <w:r>
        <w:rPr>
          <w:rFonts w:hint="eastAsia" w:ascii="仿宋_GB2312" w:hAnsi="Arial" w:eastAsia="仿宋_GB2312" w:cs="Arial"/>
          <w:color w:val="000000"/>
          <w:kern w:val="0"/>
          <w:sz w:val="32"/>
          <w:szCs w:val="32"/>
        </w:rPr>
        <w:t>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）以内的部分，按</w:t>
      </w:r>
      <w:r>
        <w:rPr>
          <w:rFonts w:hint="eastAsia" w:ascii="仿宋_GB2312" w:hAnsi="Arial" w:eastAsia="仿宋_GB2312" w:cs="Arial"/>
          <w:color w:val="000000"/>
          <w:kern w:val="0"/>
          <w:sz w:val="32"/>
          <w:szCs w:val="32"/>
        </w:rPr>
        <w:t>6000元/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结算房价款；</w:t>
      </w:r>
      <w:r>
        <w:rPr>
          <w:rFonts w:hint="eastAsia" w:ascii="仿宋_GB2312" w:hAnsi="Arial" w:eastAsia="仿宋_GB2312" w:cs="Arial"/>
          <w:color w:val="000000"/>
          <w:kern w:val="0"/>
          <w:sz w:val="32"/>
          <w:szCs w:val="32"/>
        </w:rPr>
        <w:t>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（含</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）的部分，按照</w:t>
      </w:r>
      <w:r>
        <w:rPr>
          <w:rFonts w:hint="eastAsia" w:ascii="仿宋_GB2312" w:hAnsi="Arial" w:eastAsia="仿宋_GB2312" w:cs="Arial"/>
          <w:color w:val="000000"/>
          <w:kern w:val="0"/>
          <w:sz w:val="32"/>
          <w:szCs w:val="32"/>
        </w:rPr>
        <w:t>8000元/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结算房价款；</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以上的部分，按照一房一价表结算房屋价款。产权调换房屋面积小于应调换面积的部分，由征收部门按照被征收房屋该部分的评估价值给予被征收人货币补偿。产权调换房</w:t>
      </w:r>
      <w:r>
        <w:rPr>
          <w:rFonts w:hint="eastAsia" w:ascii="仿宋_GB2312" w:hAnsi="Arial" w:eastAsia="仿宋_GB2312" w:cs="Arial"/>
          <w:color w:val="000000"/>
          <w:kern w:val="0"/>
          <w:sz w:val="32"/>
          <w:szCs w:val="32"/>
        </w:rPr>
        <w:t>屋按照被征收房屋建筑面积缴纳800元/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的层高调整建设费。产权调换房屋在交付时，被征收人一次性缴清超面积房款及层高调整建设费，具体结算支付在补偿协议中明确约定。</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3. 办公用房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（1）货币补偿。房屋被征收人选择货币补偿的，根据房屋评估价值给予货币补偿。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（2）产权调换。产权调换按原房屋建筑面积1:1标准实行就地调换住宅房屋，选择与被征收房屋面积相近的户型。产权调换房屋建筑面积超出应调换面积10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（含</w:t>
      </w:r>
      <w:r>
        <w:rPr>
          <w:rFonts w:hint="eastAsia" w:ascii="仿宋_GB2312" w:hAnsi="Arial" w:eastAsia="仿宋_GB2312" w:cs="Arial"/>
          <w:color w:val="000000"/>
          <w:kern w:val="0"/>
          <w:sz w:val="32"/>
          <w:szCs w:val="32"/>
        </w:rPr>
        <w:t>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）以内的部分，按</w:t>
      </w:r>
      <w:r>
        <w:rPr>
          <w:rFonts w:hint="eastAsia" w:ascii="仿宋_GB2312" w:hAnsi="Arial" w:eastAsia="仿宋_GB2312" w:cs="Arial"/>
          <w:color w:val="000000"/>
          <w:kern w:val="0"/>
          <w:sz w:val="32"/>
          <w:szCs w:val="32"/>
        </w:rPr>
        <w:t>3500元/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结算房价款；</w:t>
      </w:r>
      <w:r>
        <w:rPr>
          <w:rFonts w:hint="eastAsia" w:ascii="仿宋_GB2312" w:hAnsi="Arial" w:eastAsia="仿宋_GB2312" w:cs="Arial"/>
          <w:color w:val="000000"/>
          <w:kern w:val="0"/>
          <w:sz w:val="32"/>
          <w:szCs w:val="32"/>
        </w:rPr>
        <w:t>10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（含</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）的部分，按照</w:t>
      </w:r>
      <w:r>
        <w:rPr>
          <w:rFonts w:hint="eastAsia" w:ascii="仿宋_GB2312" w:hAnsi="Arial" w:eastAsia="仿宋_GB2312" w:cs="Arial"/>
          <w:color w:val="000000"/>
          <w:kern w:val="0"/>
          <w:sz w:val="32"/>
          <w:szCs w:val="32"/>
        </w:rPr>
        <w:t>4500元/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结算房价款</w:t>
      </w:r>
      <w:r>
        <w:rPr>
          <w:rFonts w:hint="eastAsia" w:ascii="仿宋_GB2312" w:hAnsi="Arial" w:eastAsia="仿宋_GB2312" w:cs="Arial"/>
          <w:color w:val="000000"/>
          <w:kern w:val="0"/>
          <w:sz w:val="32"/>
          <w:szCs w:val="32"/>
        </w:rPr>
        <w:t>；20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上的部分，按照一房一价表结算房屋价款。产权调换房屋面积小于应调换面积的部分，由征收部门按照该部分被征收房屋评估价值给予被征收人货币补偿。产权调换房屋在交付时，被征收人一次性缴清超面积房款，具体结算支付在补偿协议中明确约定。</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4. 经营性损失补偿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对合法生产、经营性商业用房造成停产停业损失按房地产评估价值一定比例确定，其中：征收时正常生产经营的一次性停产停业损失协商补偿比例不超过5%。未正常生产经营或已停产停业的一次性停产停业损失协商补偿比例不超过3%。</w:t>
      </w:r>
    </w:p>
    <w:p>
      <w:pPr>
        <w:widowControl/>
        <w:numPr>
          <w:ilvl w:val="0"/>
          <w:numId w:val="1"/>
        </w:numPr>
        <w:spacing w:before="100" w:beforeAutospacing="1" w:after="100" w:afterAutospacing="1" w:line="360" w:lineRule="atLeast"/>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装饰装修补偿</w:t>
      </w:r>
    </w:p>
    <w:p>
      <w:pPr>
        <w:widowControl/>
        <w:spacing w:line="520" w:lineRule="atLeast"/>
        <w:ind w:firstLine="640"/>
        <w:jc w:val="left"/>
        <w:rPr>
          <w:rFonts w:hint="eastAsia" w:ascii="Arial" w:hAnsi="Arial" w:eastAsia="宋体" w:cs="Arial"/>
          <w:color w:val="000000"/>
          <w:kern w:val="0"/>
          <w:sz w:val="27"/>
          <w:szCs w:val="27"/>
        </w:rPr>
      </w:pPr>
      <w:r>
        <w:rPr>
          <w:rFonts w:hint="eastAsia" w:ascii="仿宋_GB2312" w:hAnsi="Arial" w:eastAsia="仿宋_GB2312" w:cs="Arial"/>
          <w:color w:val="000000"/>
          <w:kern w:val="0"/>
          <w:sz w:val="32"/>
          <w:szCs w:val="32"/>
        </w:rPr>
        <w:t>装饰装修补偿依据新旧程度和档次不同，按100元至300元每平方米补偿标准给予货币补偿。被征收人对补偿标准有异议的，按评估结果给予货币补偿。</w:t>
      </w:r>
    </w:p>
    <w:p>
      <w:pPr>
        <w:widowControl/>
        <w:numPr>
          <w:ilvl w:val="0"/>
          <w:numId w:val="2"/>
        </w:numPr>
        <w:spacing w:before="100" w:beforeAutospacing="1" w:after="100" w:afterAutospacing="1" w:line="360" w:lineRule="atLeast"/>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附属房及地上附属物补偿</w:t>
      </w:r>
    </w:p>
    <w:p>
      <w:pPr>
        <w:widowControl/>
        <w:spacing w:line="520" w:lineRule="atLeast"/>
        <w:ind w:firstLine="640"/>
        <w:jc w:val="left"/>
        <w:rPr>
          <w:rFonts w:hint="eastAsia" w:ascii="Arial" w:hAnsi="Arial" w:eastAsia="宋体" w:cs="Arial"/>
          <w:color w:val="000000"/>
          <w:kern w:val="0"/>
          <w:sz w:val="27"/>
          <w:szCs w:val="27"/>
        </w:rPr>
      </w:pPr>
      <w:r>
        <w:rPr>
          <w:rFonts w:hint="eastAsia" w:ascii="仿宋_GB2312" w:hAnsi="Arial" w:eastAsia="仿宋_GB2312" w:cs="Arial"/>
          <w:color w:val="000000"/>
          <w:kern w:val="0"/>
          <w:sz w:val="32"/>
          <w:szCs w:val="32"/>
        </w:rPr>
        <w:t>附属房及地上附属物补偿标准参考《大冶市集体土地征收与补偿实施细则》（大冶政规〔2023〕2号）标准执行，文件未明确或被征收人有异议的，按照评估机构的评估结果进行补偿。</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（二）国有房屋</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征收部门根据评估结果对国有房屋产权人实行货币补偿，国有房屋腾退工作由房屋产权人自行完成，并承担对承租人的安置责任。</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六、房屋其他补偿（补助）及奖励标准</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（一）临时安置过渡费。</w:t>
      </w:r>
      <w:r>
        <w:rPr>
          <w:rFonts w:hint="eastAsia" w:ascii="仿宋_GB2312" w:hAnsi="Arial" w:eastAsia="仿宋_GB2312" w:cs="Arial"/>
          <w:color w:val="000000"/>
          <w:kern w:val="0"/>
          <w:sz w:val="32"/>
          <w:szCs w:val="32"/>
        </w:rPr>
        <w:t>住宅房屋按房屋建筑面积每月8元/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的标准（每户不高于</w:t>
      </w:r>
      <w:r>
        <w:rPr>
          <w:rFonts w:hint="eastAsia" w:ascii="仿宋_GB2312" w:hAnsi="Arial" w:eastAsia="仿宋_GB2312" w:cs="Arial"/>
          <w:color w:val="000000"/>
          <w:kern w:val="0"/>
          <w:sz w:val="32"/>
          <w:szCs w:val="32"/>
        </w:rPr>
        <w:t>1000元/月，不低于600元/月）。被征收人选择产权调换的，签约时先行支付24个月过渡费，超过此期限的在产权调换房屋交付时一次性结清；被征收人选择货币补偿的，支付6个月的过渡费，签约时一次性结清。</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商业用房按房屋建筑面积15元/</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的标准（不足</w:t>
      </w:r>
      <w:r>
        <w:rPr>
          <w:rFonts w:hint="eastAsia" w:ascii="仿宋_GB2312" w:hAnsi="Arial" w:eastAsia="仿宋_GB2312" w:cs="Arial"/>
          <w:color w:val="000000"/>
          <w:kern w:val="0"/>
          <w:sz w:val="32"/>
          <w:szCs w:val="32"/>
        </w:rPr>
        <w:t>1000元/月按1000元/月计算）。被征收人选择产权调换的，签约时先行支付24个月过渡费，超过此期限的在产权调换房屋交付时一次性结清；被征收人选择货币补偿的，支付6个月的过渡费，签约时一次性结清。</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spacing w:val="-6"/>
          <w:kern w:val="0"/>
          <w:sz w:val="32"/>
          <w:szCs w:val="32"/>
        </w:rPr>
        <w:t>办公用房按房屋建筑面积每月8元/</w:t>
      </w:r>
      <w:r>
        <w:rPr>
          <w:rFonts w:hint="eastAsia" w:ascii="Batang" w:hAnsi="Batang" w:eastAsia="Batang" w:cs="Batang"/>
          <w:color w:val="000000"/>
          <w:spacing w:val="-6"/>
          <w:kern w:val="0"/>
          <w:sz w:val="32"/>
          <w:szCs w:val="32"/>
        </w:rPr>
        <w:t>㎡</w:t>
      </w:r>
      <w:r>
        <w:rPr>
          <w:rFonts w:hint="eastAsia" w:ascii="仿宋_GB2312" w:hAnsi="仿宋_GB2312" w:eastAsia="仿宋_GB2312" w:cs="仿宋_GB2312"/>
          <w:color w:val="000000"/>
          <w:spacing w:val="-6"/>
          <w:kern w:val="0"/>
          <w:sz w:val="32"/>
          <w:szCs w:val="32"/>
        </w:rPr>
        <w:t>的标准（不足</w:t>
      </w:r>
      <w:r>
        <w:rPr>
          <w:rFonts w:hint="eastAsia" w:ascii="仿宋_GB2312" w:hAnsi="Arial" w:eastAsia="仿宋_GB2312" w:cs="Arial"/>
          <w:color w:val="000000"/>
          <w:spacing w:val="-6"/>
          <w:kern w:val="0"/>
          <w:sz w:val="32"/>
          <w:szCs w:val="32"/>
        </w:rPr>
        <w:t>1000元/月</w:t>
      </w:r>
      <w:r>
        <w:rPr>
          <w:rFonts w:hint="eastAsia" w:ascii="仿宋_GB2312" w:hAnsi="Arial" w:eastAsia="仿宋_GB2312" w:cs="Arial"/>
          <w:color w:val="000000"/>
          <w:kern w:val="0"/>
          <w:sz w:val="32"/>
          <w:szCs w:val="32"/>
        </w:rPr>
        <w:t>按1000元/月计算）。被征收人选择产权调换的，签约时先行支付24个月过渡费，超过此期限的在产权调换房屋交付时一次性结清；被征收人选择货币补偿的，支付6个月的过渡费，签约时一次性结清。</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（二）搬迁补助费。</w:t>
      </w:r>
      <w:r>
        <w:rPr>
          <w:rFonts w:hint="eastAsia" w:ascii="仿宋_GB2312" w:hAnsi="Arial" w:eastAsia="仿宋_GB2312" w:cs="Arial"/>
          <w:color w:val="000000"/>
          <w:kern w:val="0"/>
          <w:sz w:val="32"/>
          <w:szCs w:val="32"/>
        </w:rPr>
        <w:t>搬迁补助费用按5000元/户包干，其中：搬家费按2000元/户、家用设施迁移补偿费按3000元/户（含水电、电话宽带、空调、太阳能、电燃气热水器等家用设施）。</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（三）住改非补偿。</w:t>
      </w:r>
      <w:r>
        <w:rPr>
          <w:rFonts w:hint="eastAsia" w:ascii="仿宋_GB2312" w:hAnsi="Arial" w:eastAsia="仿宋_GB2312" w:cs="Arial"/>
          <w:color w:val="000000"/>
          <w:kern w:val="0"/>
          <w:sz w:val="32"/>
          <w:szCs w:val="32"/>
        </w:rPr>
        <w:t>被征收个人住房实际用于生产经营的，经征收部门认定符合住改非认定条件的，对其改变用途的部分房屋建筑面积按不超过住宅房屋评估价格50%比例上浮协商增加补偿。对长期停业、未实质性经营的不得上浮补偿。</w:t>
      </w:r>
    </w:p>
    <w:p>
      <w:pPr>
        <w:widowControl/>
        <w:spacing w:line="520" w:lineRule="atLeast"/>
        <w:ind w:firstLine="640"/>
        <w:jc w:val="left"/>
        <w:rPr>
          <w:rFonts w:ascii="Arial" w:hAnsi="Arial" w:eastAsia="宋体" w:cs="Arial"/>
          <w:color w:val="000000"/>
          <w:kern w:val="0"/>
          <w:sz w:val="27"/>
          <w:szCs w:val="27"/>
        </w:rPr>
      </w:pPr>
      <w:r>
        <w:rPr>
          <w:rFonts w:hint="eastAsia" w:ascii="楷体_GB2312" w:hAnsi="Arial" w:eastAsia="楷体_GB2312" w:cs="Arial"/>
          <w:color w:val="000000"/>
          <w:kern w:val="0"/>
          <w:sz w:val="32"/>
          <w:szCs w:val="32"/>
        </w:rPr>
        <w:t>（四）签约奖励。</w:t>
      </w:r>
      <w:r>
        <w:rPr>
          <w:rFonts w:hint="eastAsia" w:ascii="仿宋_GB2312" w:hAnsi="Arial" w:eastAsia="仿宋_GB2312" w:cs="Arial"/>
          <w:color w:val="000000"/>
          <w:kern w:val="0"/>
          <w:sz w:val="32"/>
          <w:szCs w:val="32"/>
        </w:rPr>
        <w:t>被征收人在规定期限内签订补偿协议的，给予签约奖励。自作出房屋征收决定之日起在10日内签约，给予20000元/户的签约奖励；在11日至20日内签约，给予10000元/户的签约奖励；在21日至30日内签约，给予5000元/户的签约奖励；超过30日签约的无奖励。</w:t>
      </w:r>
    </w:p>
    <w:p>
      <w:pPr>
        <w:widowControl/>
        <w:spacing w:line="520" w:lineRule="atLeast"/>
        <w:ind w:firstLine="632"/>
        <w:jc w:val="left"/>
        <w:rPr>
          <w:rFonts w:ascii="Arial" w:hAnsi="Arial" w:eastAsia="宋体" w:cs="Arial"/>
          <w:color w:val="000000"/>
          <w:kern w:val="0"/>
          <w:sz w:val="27"/>
          <w:szCs w:val="27"/>
        </w:rPr>
      </w:pPr>
      <w:r>
        <w:rPr>
          <w:rFonts w:hint="eastAsia" w:ascii="黑体" w:hAnsi="黑体" w:eastAsia="黑体" w:cs="Arial"/>
          <w:color w:val="000000"/>
          <w:kern w:val="0"/>
          <w:sz w:val="32"/>
          <w:szCs w:val="32"/>
        </w:rPr>
        <w:t>七、其他事项</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（一）征收范围确定后，任何人不得在本项目范围内实施新建、扩建、改建房屋和改变房屋用途等不当增加补偿费用的行为，违反规定的，依法不予补偿。</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（二）被征收房屋存在抵押、被司法机关查封或租赁他人等情况，由被征收人与相关当事人自行协商解决。征收实施单位不承担抵押、被司法机关查封或租赁他人等情况造成纠纷的任何责任。</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三）在签约期限内，未达成征收补偿协议的，由征收部门报请市人民政府作出征收补偿决定，被征收人在补偿决定规定的期限内不申请行政复议或者不提出行政诉讼，又不搬迁的，由市人民政府依法申请人民法院强制执行，强制执行的被征收人不享受本方案有关奖励及补助政策。</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（四）房屋依法被征收后，国有土地使用权同时收回，所涉及的房屋及附属设施归房屋征收部门所有，房屋拆除由征收部门统一安排，严禁被征收人自行拆除。</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（五）特殊问题按照“一事一议”原则，经征收部门按程序报请市政府研究决定后，作为补偿安置依据。</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（六）产权调换房屋办证费用：</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1. 契税：产权调换房屋登记在原产权人名下的，原产权证载面积部分由征收部门承担，超出原产权证载面积部分由被征收人承担；产权调换房屋变更产权人的，契税全部由被征收人承担。原单位处置房屋的产权人选择产权调换的，产权调换房屋契税全部由被征收人承担。</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2. 产权调换房屋维修基金由被征收人承担</w:t>
      </w:r>
    </w:p>
    <w:p>
      <w:pPr>
        <w:widowControl/>
        <w:spacing w:line="520" w:lineRule="atLeast"/>
        <w:ind w:firstLine="640"/>
        <w:jc w:val="left"/>
        <w:rPr>
          <w:rFonts w:ascii="Arial" w:hAnsi="Arial" w:eastAsia="宋体" w:cs="Arial"/>
          <w:color w:val="000000"/>
          <w:kern w:val="0"/>
          <w:sz w:val="27"/>
          <w:szCs w:val="27"/>
        </w:rPr>
      </w:pPr>
      <w:r>
        <w:rPr>
          <w:rFonts w:hint="eastAsia" w:ascii="仿宋_GB2312" w:hAnsi="Arial" w:eastAsia="仿宋_GB2312" w:cs="Arial"/>
          <w:color w:val="000000"/>
          <w:kern w:val="0"/>
          <w:sz w:val="32"/>
          <w:szCs w:val="32"/>
        </w:rPr>
        <w:t>本方案未尽事宜，按有关法律、法规、规章和规范性文件的规定执行；本方案仅适用于原水产局整合地块的房屋征收补偿工作，由征收部门大冶市住房和城乡建设局会同大冶市自然资源和规划局负责解释。</w:t>
      </w:r>
    </w:p>
    <w:p>
      <w:pPr>
        <w:widowControl/>
        <w:spacing w:before="260" w:after="260" w:line="500" w:lineRule="atLeast"/>
        <w:jc w:val="left"/>
        <w:outlineLvl w:val="2"/>
        <w:rPr>
          <w:rFonts w:ascii="Arial" w:hAnsi="Arial" w:eastAsia="宋体" w:cs="Arial"/>
          <w:b/>
          <w:bCs/>
          <w:color w:val="000000"/>
          <w:kern w:val="0"/>
          <w:sz w:val="27"/>
          <w:szCs w:val="27"/>
        </w:rPr>
      </w:pPr>
      <w:r>
        <w:rPr>
          <w:rFonts w:ascii="Arial" w:hAnsi="Arial" w:eastAsia="宋体" w:cs="Arial"/>
          <w:b/>
          <w:bCs/>
          <w:color w:val="000000"/>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黑体">
    <w:altName w:val="方正黑体_GBK"/>
    <w:panose1 w:val="02010609060101010101"/>
    <w:charset w:val="00"/>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00"/>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DejaVu Math TeX Gyre"/>
    <w:panose1 w:val="02030600000101010101"/>
    <w:charset w:val="00"/>
    <w:family w:val="roman"/>
    <w:pitch w:val="default"/>
    <w:sig w:usb0="B00002AF" w:usb1="69D77CFB" w:usb2="00000030" w:usb3="00000000" w:csb0="0008009F"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12A22"/>
    <w:multiLevelType w:val="multilevel"/>
    <w:tmpl w:val="15D12A22"/>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6752EEB"/>
    <w:multiLevelType w:val="multilevel"/>
    <w:tmpl w:val="76752EEB"/>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7C"/>
    <w:rsid w:val="0011387C"/>
    <w:rsid w:val="00292D95"/>
    <w:rsid w:val="BF653C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Style w:val="2"/>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497</Words>
  <Characters>2838</Characters>
  <Lines>23</Lines>
  <Paragraphs>6</Paragraphs>
  <TotalTime>0</TotalTime>
  <ScaleCrop>false</ScaleCrop>
  <LinksUpToDate>false</LinksUpToDate>
  <CharactersWithSpaces>3329</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2026-03-26T09:45:00Z</dcterms:created>
  <dc:creator>Administrator</dc:creator>
  <cp:lastModifiedBy>user</cp:lastModifiedBy>
  <dcterms:modified xsi:type="dcterms:W3CDTF">2026-06-02T16:54:38Z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2C5D9E1FB6600CCA4E9A1E6AD3C70071</vt:lpwstr>
  </property>
</Properties>
</file>