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679D9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lang w:val="en-US" w:eastAsia="zh-CN"/>
        </w:rPr>
        <w:t>金湖街道</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val="en-US" w:eastAsia="zh-CN"/>
        </w:rPr>
        <w:t>上半年</w:t>
      </w:r>
      <w:r>
        <w:rPr>
          <w:rFonts w:hint="eastAsia" w:ascii="方正小标宋简体" w:hAnsi="方正小标宋简体" w:eastAsia="方正小标宋简体" w:cs="方正小标宋简体"/>
          <w:sz w:val="44"/>
          <w:szCs w:val="44"/>
        </w:rPr>
        <w:t>经济运行工作情况</w:t>
      </w:r>
    </w:p>
    <w:bookmarkEnd w:id="0"/>
    <w:p w14:paraId="5F049B8C">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仿宋_GB2312" w:hAnsi="宋体" w:eastAsia="仿宋_GB2312"/>
          <w:sz w:val="36"/>
          <w:szCs w:val="36"/>
          <w:lang w:val="en-US" w:eastAsia="zh-CN"/>
        </w:rPr>
      </w:pPr>
    </w:p>
    <w:p w14:paraId="0F311C16">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仿宋_GB2312" w:hAnsi="仿宋_GB2312" w:eastAsia="仿宋_GB2312" w:cs="仿宋_GB2312"/>
          <w:kern w:val="2"/>
          <w:sz w:val="36"/>
          <w:szCs w:val="36"/>
          <w:lang w:val="en-US" w:eastAsia="zh-CN" w:bidi="ar-SA"/>
        </w:rPr>
      </w:pPr>
      <w:r>
        <w:rPr>
          <w:rFonts w:hint="eastAsia" w:ascii="仿宋_GB2312" w:hAnsi="宋体" w:eastAsia="仿宋_GB2312"/>
          <w:sz w:val="36"/>
          <w:szCs w:val="36"/>
          <w:lang w:val="en-US" w:eastAsia="zh-CN"/>
        </w:rPr>
        <w:t>今年以来，</w:t>
      </w:r>
      <w:r>
        <w:rPr>
          <w:rFonts w:hint="eastAsia" w:ascii="仿宋_GB2312" w:hAnsi="宋体" w:eastAsia="仿宋_GB2312"/>
          <w:sz w:val="36"/>
          <w:szCs w:val="36"/>
          <w:lang w:eastAsia="zh-CN"/>
        </w:rPr>
        <w:t>围绕市委、市政府的决策部署，金湖上下凝心聚力、</w:t>
      </w:r>
      <w:r>
        <w:rPr>
          <w:rFonts w:hint="eastAsia" w:ascii="仿宋_GB2312" w:hAnsi="仿宋_GB2312" w:eastAsia="仿宋_GB2312" w:cs="仿宋_GB2312"/>
          <w:kern w:val="2"/>
          <w:sz w:val="36"/>
          <w:szCs w:val="36"/>
          <w:lang w:val="en-US" w:eastAsia="zh-CN" w:bidi="ar-SA"/>
        </w:rPr>
        <w:t>奋勇争先</w:t>
      </w:r>
      <w:r>
        <w:rPr>
          <w:rFonts w:hint="eastAsia" w:ascii="仿宋_GB2312" w:hAnsi="宋体" w:eastAsia="仿宋_GB2312"/>
          <w:sz w:val="36"/>
          <w:szCs w:val="36"/>
          <w:lang w:eastAsia="zh-CN"/>
        </w:rPr>
        <w:t>、真抓实干</w:t>
      </w:r>
      <w:r>
        <w:rPr>
          <w:rFonts w:hint="eastAsia" w:ascii="仿宋_GB2312" w:hAnsi="仿宋_GB2312" w:eastAsia="仿宋_GB2312" w:cs="仿宋_GB2312"/>
          <w:kern w:val="2"/>
          <w:sz w:val="36"/>
          <w:szCs w:val="36"/>
          <w:lang w:val="en-US" w:eastAsia="zh-CN" w:bidi="ar-SA"/>
        </w:rPr>
        <w:t>，科创引领工业振兴、美丽金湖品质提升、城乡融合兴业富民、文化创新融合发展、优化升级营商环境5大攻坚行动扎实推进，资金、队伍、稳定3大难题有效攻克，19个重点工程项目进展有力，36个目标任务按时间节点不断达成，10件实事正逐一兑现，围绕“建设黄石第一工业强镇、打造华夏青铜文化旅游名镇”的目标，招商引资、项目建设、经济发展、扩大融资等各项工作超预期。</w:t>
      </w:r>
    </w:p>
    <w:p w14:paraId="641ECD51">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auto"/>
          <w:sz w:val="36"/>
          <w:szCs w:val="36"/>
          <w:lang w:val="en-US" w:eastAsia="zh-CN"/>
        </w:rPr>
      </w:pPr>
      <w:r>
        <w:rPr>
          <w:rFonts w:hint="eastAsia" w:ascii="楷体_GB2312" w:hAnsi="楷体_GB2312" w:eastAsia="楷体_GB2312" w:cs="楷体_GB2312"/>
          <w:b/>
          <w:bCs/>
          <w:color w:val="auto"/>
          <w:kern w:val="2"/>
          <w:sz w:val="36"/>
          <w:szCs w:val="36"/>
          <w:lang w:val="en-US" w:eastAsia="zh-CN" w:bidi="ar-SA"/>
        </w:rPr>
        <w:t>一是聚精会神抓经济、强发展。</w:t>
      </w:r>
      <w:r>
        <w:rPr>
          <w:rFonts w:hint="eastAsia" w:ascii="仿宋_GB2312" w:hAnsi="仿宋_GB2312" w:eastAsia="仿宋_GB2312" w:cs="仿宋_GB2312"/>
          <w:color w:val="auto"/>
          <w:sz w:val="36"/>
          <w:szCs w:val="36"/>
          <w:lang w:val="en-US" w:eastAsia="zh-CN"/>
        </w:rPr>
        <w:t>今年以来，对82家规上企业和30家“四上”培育企业落实班子成员“一对一”包保，加大“双千”服务力度，解决企业用工、资金困难等问题50余个，助推企业开足马力生产。上半年，预计完成工业总产值71.12亿元、固定资产投资15亿元、社会消费品零售额8417万元、财政总收入6亿元，完成全年目标任务的</w:t>
      </w:r>
      <w:r>
        <w:rPr>
          <w:rFonts w:hint="eastAsia" w:ascii="仿宋_GB2312" w:hAnsi="仿宋_GB2312" w:eastAsia="仿宋_GB2312" w:cs="仿宋_GB2312"/>
          <w:sz w:val="36"/>
          <w:szCs w:val="36"/>
        </w:rPr>
        <w:t>50.</w:t>
      </w:r>
      <w:r>
        <w:rPr>
          <w:rFonts w:hint="eastAsia" w:ascii="仿宋_GB2312" w:hAnsi="仿宋_GB2312" w:eastAsia="仿宋_GB2312" w:cs="仿宋_GB2312"/>
          <w:sz w:val="36"/>
          <w:szCs w:val="36"/>
          <w:lang w:val="en-US" w:eastAsia="zh-CN"/>
        </w:rPr>
        <w:t>1</w:t>
      </w:r>
      <w:r>
        <w:rPr>
          <w:rFonts w:hint="eastAsia" w:ascii="仿宋_GB2312" w:hAnsi="仿宋_GB2312" w:eastAsia="仿宋_GB2312" w:cs="仿宋_GB2312"/>
          <w:color w:val="auto"/>
          <w:sz w:val="36"/>
          <w:szCs w:val="36"/>
          <w:lang w:val="en-US" w:eastAsia="zh-CN"/>
        </w:rPr>
        <w:t>%、50%、</w:t>
      </w:r>
      <w:r>
        <w:rPr>
          <w:rFonts w:hint="eastAsia" w:ascii="仿宋_GB2312" w:hAnsi="仿宋_GB2312" w:eastAsia="仿宋_GB2312" w:cs="仿宋_GB2312"/>
          <w:sz w:val="36"/>
          <w:szCs w:val="36"/>
        </w:rPr>
        <w:t>50.</w:t>
      </w:r>
      <w:r>
        <w:rPr>
          <w:rFonts w:hint="eastAsia" w:ascii="仿宋_GB2312" w:hAnsi="仿宋_GB2312" w:eastAsia="仿宋_GB2312" w:cs="仿宋_GB2312"/>
          <w:sz w:val="36"/>
          <w:szCs w:val="36"/>
          <w:lang w:val="en-US" w:eastAsia="zh-CN"/>
        </w:rPr>
        <w:t>6</w:t>
      </w:r>
      <w:r>
        <w:rPr>
          <w:rFonts w:hint="eastAsia" w:ascii="仿宋_GB2312" w:hAnsi="仿宋_GB2312" w:eastAsia="仿宋_GB2312" w:cs="仿宋_GB2312"/>
          <w:color w:val="auto"/>
          <w:sz w:val="36"/>
          <w:szCs w:val="36"/>
          <w:lang w:val="en-US" w:eastAsia="zh-CN"/>
        </w:rPr>
        <w:t>%、</w:t>
      </w:r>
      <w:r>
        <w:rPr>
          <w:rFonts w:hint="eastAsia" w:ascii="仿宋_GB2312" w:hAnsi="仿宋_GB2312" w:eastAsia="仿宋_GB2312" w:cs="仿宋_GB2312"/>
          <w:sz w:val="36"/>
          <w:szCs w:val="36"/>
        </w:rPr>
        <w:t>5</w:t>
      </w:r>
      <w:r>
        <w:rPr>
          <w:rFonts w:hint="eastAsia" w:ascii="仿宋_GB2312" w:hAnsi="仿宋_GB2312" w:eastAsia="仿宋_GB2312" w:cs="仿宋_GB2312"/>
          <w:sz w:val="36"/>
          <w:szCs w:val="36"/>
          <w:lang w:val="en-US" w:eastAsia="zh-CN"/>
        </w:rPr>
        <w:t>1.1</w:t>
      </w:r>
      <w:r>
        <w:rPr>
          <w:rFonts w:hint="eastAsia" w:ascii="仿宋_GB2312" w:hAnsi="仿宋_GB2312" w:eastAsia="仿宋_GB2312" w:cs="仿宋_GB2312"/>
          <w:color w:val="auto"/>
          <w:sz w:val="36"/>
          <w:szCs w:val="36"/>
          <w:lang w:val="en-US" w:eastAsia="zh-CN"/>
        </w:rPr>
        <w:t>%，奋力实现“双过半”目标任务。</w:t>
      </w:r>
    </w:p>
    <w:p w14:paraId="61096805">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23" w:firstLineChars="200"/>
        <w:jc w:val="both"/>
        <w:textAlignment w:val="auto"/>
        <w:outlineLvl w:val="9"/>
        <w:rPr>
          <w:rFonts w:hint="default" w:ascii="仿宋_GB2312" w:hAnsi="仿宋_GB2312" w:eastAsia="仿宋_GB2312" w:cs="仿宋_GB2312"/>
          <w:b w:val="0"/>
          <w:bCs w:val="0"/>
          <w:sz w:val="36"/>
          <w:szCs w:val="36"/>
          <w:lang w:val="en-US" w:eastAsia="zh-CN"/>
        </w:rPr>
      </w:pPr>
      <w:r>
        <w:rPr>
          <w:rFonts w:hint="eastAsia" w:ascii="楷体_GB2312" w:hAnsi="楷体_GB2312" w:eastAsia="楷体_GB2312" w:cs="楷体_GB2312"/>
          <w:b/>
          <w:bCs/>
          <w:color w:val="auto"/>
          <w:kern w:val="2"/>
          <w:sz w:val="36"/>
          <w:szCs w:val="36"/>
          <w:lang w:val="en-US" w:eastAsia="zh-CN" w:bidi="ar-SA"/>
        </w:rPr>
        <w:t>二是全力以赴抓招引、拓源头。</w:t>
      </w:r>
      <w:r>
        <w:rPr>
          <w:rFonts w:hint="eastAsia" w:ascii="仿宋_GB2312" w:hAnsi="仿宋_GB2312" w:eastAsia="仿宋_GB2312" w:cs="仿宋_GB2312"/>
          <w:b w:val="0"/>
          <w:bCs w:val="0"/>
          <w:color w:val="auto"/>
          <w:sz w:val="36"/>
          <w:szCs w:val="36"/>
          <w:lang w:val="en-US" w:eastAsia="zh-CN"/>
        </w:rPr>
        <w:t>紧盯钢铁建材、非金属新材料、现代物流、绿色循环经济等主导产业延链、补链、强链抓招商，不断完善产业链条，壮大产业集群，</w:t>
      </w:r>
      <w:r>
        <w:rPr>
          <w:rFonts w:hint="eastAsia" w:ascii="仿宋_GB2312" w:hAnsi="仿宋_GB2312" w:eastAsia="仿宋_GB2312" w:cs="仿宋_GB2312"/>
          <w:b w:val="0"/>
          <w:bCs w:val="0"/>
          <w:sz w:val="36"/>
          <w:szCs w:val="36"/>
          <w:lang w:val="en-US" w:eastAsia="zh-CN"/>
        </w:rPr>
        <w:t>提高招商质效。上半年，党政主职带队赴北京、上海、广东、深圳、海南等地招商5批次，安排招商小分队赴广东佛山、中山驻点招商，完成新签约项目8个，其中20亿元以上项目1个（绿色建材循环经济产业园项目），亿元以上项目7个，总投资额38.29亿元，完成全年目标任务的75%。</w:t>
      </w:r>
    </w:p>
    <w:p w14:paraId="7D252289">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default" w:ascii="仿宋_GB2312" w:hAnsi="仿宋_GB2312" w:eastAsia="仿宋_GB2312" w:cs="仿宋_GB2312"/>
          <w:kern w:val="2"/>
          <w:sz w:val="36"/>
          <w:szCs w:val="36"/>
          <w:lang w:val="en-US" w:eastAsia="zh-CN" w:bidi="ar"/>
        </w:rPr>
      </w:pPr>
      <w:r>
        <w:rPr>
          <w:rFonts w:hint="eastAsia" w:ascii="楷体_GB2312" w:hAnsi="楷体_GB2312" w:eastAsia="楷体_GB2312" w:cs="楷体_GB2312"/>
          <w:b/>
          <w:bCs/>
          <w:color w:val="auto"/>
          <w:kern w:val="2"/>
          <w:sz w:val="36"/>
          <w:szCs w:val="36"/>
          <w:lang w:val="en-US" w:eastAsia="zh-CN" w:bidi="ar-SA"/>
        </w:rPr>
        <w:t>三是一心一意抓项目、扩投资。</w:t>
      </w:r>
      <w:r>
        <w:rPr>
          <w:rFonts w:hint="eastAsia" w:ascii="仿宋_GB2312" w:hAnsi="仿宋_GB2312" w:eastAsia="仿宋_GB2312" w:cs="仿宋_GB2312"/>
          <w:kern w:val="2"/>
          <w:sz w:val="36"/>
          <w:szCs w:val="36"/>
          <w:lang w:val="en-US" w:eastAsia="zh-CN" w:bidi="ar"/>
        </w:rPr>
        <w:t>成立19个重点工程项目建设指挥部，昼夜奋斗，完成华鑫技改项目房屋拆迁171栋、新冶特钢无缝钢管项目一期征地44.16亩、拆迁企业3家，完成姜桥制氢工作、吉金大道建设征地拆迁任务，重点项目序时任务完成率达100%。实行保姆式服务，全力推进新签约项目建设，上半年完成新开工项目7个，其中亿元以上5个，总投资额30.23亿元，完成投产项目8个，总投资额10.66亿元，分别完成全年目标任务的53.8%、83.3%、107.9%、75%、71.1%。</w:t>
      </w:r>
    </w:p>
    <w:p w14:paraId="0BA3B975">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eastAsia" w:ascii="仿宋_GB2312" w:hAnsi="仿宋_GB2312" w:eastAsia="仿宋_GB2312" w:cs="仿宋_GB2312"/>
          <w:sz w:val="36"/>
          <w:szCs w:val="36"/>
          <w:lang w:val="en-US" w:eastAsia="zh-CN"/>
        </w:rPr>
      </w:pPr>
      <w:r>
        <w:rPr>
          <w:rFonts w:hint="eastAsia" w:ascii="楷体_GB2312" w:hAnsi="楷体_GB2312" w:eastAsia="楷体_GB2312" w:cs="楷体_GB2312"/>
          <w:b/>
          <w:bCs/>
          <w:color w:val="auto"/>
          <w:kern w:val="2"/>
          <w:sz w:val="36"/>
          <w:szCs w:val="36"/>
          <w:lang w:val="en-US" w:eastAsia="zh-CN" w:bidi="ar-SA"/>
        </w:rPr>
        <w:t>四是千方百计抓进规、夯</w:t>
      </w:r>
      <w:r>
        <w:rPr>
          <w:rFonts w:hint="eastAsia" w:ascii="楷体_GB2312" w:hAnsi="楷体_GB2312" w:eastAsia="楷体_GB2312" w:cs="楷体_GB2312"/>
          <w:b/>
          <w:bCs/>
          <w:sz w:val="36"/>
          <w:szCs w:val="36"/>
          <w:lang w:val="en-US" w:eastAsia="zh-CN"/>
        </w:rPr>
        <w:t>底盘。</w:t>
      </w:r>
      <w:r>
        <w:rPr>
          <w:rFonts w:hint="eastAsia" w:ascii="仿宋_GB2312" w:hAnsi="仿宋" w:eastAsia="仿宋_GB2312"/>
          <w:sz w:val="36"/>
          <w:szCs w:val="36"/>
          <w:lang w:val="en-US" w:eastAsia="zh-CN"/>
        </w:rPr>
        <w:t>积极</w:t>
      </w:r>
      <w:r>
        <w:rPr>
          <w:rFonts w:hint="eastAsia" w:ascii="仿宋_GB2312" w:hAnsi="仿宋" w:eastAsia="仿宋_GB2312"/>
          <w:sz w:val="36"/>
          <w:szCs w:val="36"/>
          <w:lang w:eastAsia="zh-CN"/>
        </w:rPr>
        <w:t>帮助企业纾难解困、稳产增产、做大做强、进规入限。上半年，完成</w:t>
      </w:r>
      <w:r>
        <w:rPr>
          <w:rFonts w:hint="eastAsia" w:ascii="仿宋_GB2312" w:hAnsi="仿宋" w:eastAsia="仿宋_GB2312"/>
          <w:sz w:val="36"/>
          <w:szCs w:val="36"/>
          <w:lang w:val="en-US" w:eastAsia="zh-CN"/>
        </w:rPr>
        <w:t>新增</w:t>
      </w:r>
      <w:r>
        <w:rPr>
          <w:rFonts w:hint="eastAsia" w:ascii="仿宋_GB2312" w:hAnsi="仿宋" w:eastAsia="仿宋_GB2312"/>
          <w:sz w:val="36"/>
          <w:szCs w:val="36"/>
          <w:lang w:eastAsia="zh-CN"/>
        </w:rPr>
        <w:t>进规进限企业</w:t>
      </w:r>
      <w:r>
        <w:rPr>
          <w:rFonts w:hint="eastAsia" w:ascii="仿宋_GB2312" w:hAnsi="仿宋" w:eastAsia="仿宋_GB2312"/>
          <w:sz w:val="36"/>
          <w:szCs w:val="36"/>
          <w:lang w:val="en-US" w:eastAsia="zh-CN"/>
        </w:rPr>
        <w:t>10家，其中，</w:t>
      </w:r>
      <w:r>
        <w:rPr>
          <w:rFonts w:hint="eastAsia" w:ascii="仿宋_GB2312" w:hAnsi="仿宋_GB2312" w:eastAsia="仿宋_GB2312" w:cs="仿宋_GB2312"/>
          <w:sz w:val="36"/>
          <w:szCs w:val="36"/>
        </w:rPr>
        <w:t>工业</w:t>
      </w:r>
      <w:r>
        <w:rPr>
          <w:rFonts w:hint="eastAsia" w:ascii="仿宋_GB2312" w:hAnsi="仿宋_GB2312" w:eastAsia="仿宋_GB2312" w:cs="仿宋_GB2312"/>
          <w:sz w:val="36"/>
          <w:szCs w:val="36"/>
          <w:lang w:val="en-US" w:eastAsia="zh-CN"/>
        </w:rPr>
        <w:t>5家</w:t>
      </w:r>
      <w:r>
        <w:rPr>
          <w:rFonts w:hint="eastAsia" w:ascii="仿宋_GB2312" w:hAnsi="仿宋_GB2312" w:eastAsia="仿宋_GB2312" w:cs="仿宋_GB2312"/>
          <w:sz w:val="36"/>
          <w:szCs w:val="36"/>
        </w:rPr>
        <w:t>（丽翔综合加工厂</w:t>
      </w:r>
      <w:r>
        <w:rPr>
          <w:rFonts w:hint="eastAsia" w:ascii="仿宋_GB2312" w:hAnsi="仿宋_GB2312" w:eastAsia="仿宋_GB2312" w:cs="仿宋_GB2312"/>
          <w:sz w:val="36"/>
          <w:szCs w:val="36"/>
          <w:lang w:eastAsia="zh-CN"/>
        </w:rPr>
        <w:t>、鑫鼎亿金属制品</w:t>
      </w:r>
      <w:r>
        <w:rPr>
          <w:rFonts w:hint="eastAsia" w:ascii="仿宋_GB2312" w:hAnsi="仿宋_GB2312" w:eastAsia="仿宋_GB2312" w:cs="仿宋_GB2312"/>
          <w:sz w:val="36"/>
          <w:szCs w:val="36"/>
        </w:rPr>
        <w:t>、诚功电子</w:t>
      </w:r>
      <w:r>
        <w:rPr>
          <w:rFonts w:hint="eastAsia" w:ascii="仿宋_GB2312" w:hAnsi="仿宋_GB2312" w:eastAsia="仿宋_GB2312" w:cs="仿宋_GB2312"/>
          <w:sz w:val="36"/>
          <w:szCs w:val="36"/>
          <w:lang w:eastAsia="zh-CN"/>
        </w:rPr>
        <w:t>、腾辉木业、仕上电子</w:t>
      </w:r>
      <w:r>
        <w:rPr>
          <w:rFonts w:hint="eastAsia" w:ascii="仿宋_GB2312" w:hAnsi="仿宋_GB2312" w:eastAsia="仿宋_GB2312" w:cs="仿宋_GB2312"/>
          <w:sz w:val="36"/>
          <w:szCs w:val="36"/>
        </w:rPr>
        <w:t>）</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商贸业</w:t>
      </w:r>
      <w:r>
        <w:rPr>
          <w:rFonts w:hint="eastAsia" w:ascii="仿宋_GB2312" w:hAnsi="仿宋_GB2312" w:eastAsia="仿宋_GB2312" w:cs="仿宋_GB2312"/>
          <w:sz w:val="36"/>
          <w:szCs w:val="36"/>
          <w:lang w:val="en-US" w:eastAsia="zh-CN"/>
        </w:rPr>
        <w:t>2家</w:t>
      </w:r>
      <w:r>
        <w:rPr>
          <w:rFonts w:hint="eastAsia" w:ascii="仿宋_GB2312" w:hAnsi="仿宋_GB2312" w:eastAsia="仿宋_GB2312" w:cs="仿宋_GB2312"/>
          <w:sz w:val="36"/>
          <w:szCs w:val="36"/>
        </w:rPr>
        <w:t>（湖北冶扬</w:t>
      </w:r>
      <w:r>
        <w:rPr>
          <w:rFonts w:hint="eastAsia" w:ascii="仿宋_GB2312" w:hAnsi="仿宋_GB2312" w:eastAsia="仿宋_GB2312" w:cs="仿宋_GB2312"/>
          <w:sz w:val="36"/>
          <w:szCs w:val="36"/>
          <w:lang w:eastAsia="zh-CN"/>
        </w:rPr>
        <w:t>、梅山生态</w:t>
      </w:r>
      <w:r>
        <w:rPr>
          <w:rFonts w:hint="eastAsia" w:ascii="仿宋_GB2312" w:hAnsi="仿宋_GB2312" w:eastAsia="仿宋_GB2312" w:cs="仿宋_GB2312"/>
          <w:sz w:val="36"/>
          <w:szCs w:val="36"/>
        </w:rPr>
        <w:t>）</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建筑业3家（恒劲永兴、新民科、吉邦建筑)</w:t>
      </w:r>
      <w:r>
        <w:rPr>
          <w:rFonts w:hint="eastAsia" w:ascii="仿宋_GB2312" w:hAnsi="仿宋_GB2312" w:eastAsia="仿宋_GB2312" w:cs="仿宋_GB2312"/>
          <w:sz w:val="36"/>
          <w:szCs w:val="36"/>
          <w:lang w:eastAsia="zh-CN"/>
        </w:rPr>
        <w:t>，完成全年任务的</w:t>
      </w:r>
      <w:r>
        <w:rPr>
          <w:rFonts w:hint="eastAsia" w:ascii="仿宋_GB2312" w:hAnsi="仿宋_GB2312" w:eastAsia="仿宋_GB2312" w:cs="仿宋_GB2312"/>
          <w:sz w:val="36"/>
          <w:szCs w:val="36"/>
          <w:lang w:val="en-US" w:eastAsia="zh-CN"/>
        </w:rPr>
        <w:t>66.7%，经济发展底盘不断夯实。</w:t>
      </w:r>
    </w:p>
    <w:p w14:paraId="78B82CE8">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default" w:ascii="仿宋_GB2312" w:hAnsi="仿宋_GB2312" w:eastAsia="仿宋_GB2312" w:cs="仿宋_GB2312"/>
          <w:sz w:val="36"/>
          <w:szCs w:val="36"/>
          <w:lang w:val="en-US" w:eastAsia="zh-CN"/>
        </w:rPr>
      </w:pPr>
      <w:r>
        <w:rPr>
          <w:rFonts w:hint="eastAsia" w:ascii="楷体_GB2312" w:hAnsi="楷体_GB2312" w:eastAsia="楷体_GB2312" w:cs="楷体_GB2312"/>
          <w:b/>
          <w:bCs/>
          <w:color w:val="auto"/>
          <w:kern w:val="2"/>
          <w:sz w:val="36"/>
          <w:szCs w:val="36"/>
          <w:lang w:val="en-US" w:eastAsia="zh-CN" w:bidi="ar-SA"/>
        </w:rPr>
        <w:t>五是创新思路抓融资、求突破</w:t>
      </w:r>
      <w:r>
        <w:rPr>
          <w:rFonts w:hint="eastAsia" w:ascii="仿宋_GB2312" w:hAnsi="仿宋_GB2312" w:eastAsia="仿宋_GB2312" w:cs="仿宋_GB2312"/>
          <w:sz w:val="36"/>
          <w:szCs w:val="36"/>
          <w:lang w:val="en-US" w:eastAsia="zh-CN"/>
        </w:rPr>
        <w:t>。成立融资平台，组建融资专班，坚持走出去、请进来，积极与第三方融资团队对接合作，利用现有资产、资源进行大额度融资，完成第一批14个政府采购贷项目融资约1亿元（即将到位），上冯芦尚境旅游区基础设施提升专项债项目已通过省发改委及财政部门审核，上报国家发改审批，预计发债金额8000万元—1.2亿元，有效解决了制约发展的资金短板问题。</w:t>
      </w:r>
    </w:p>
    <w:p w14:paraId="7255E64B">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eastAsia" w:ascii="仿宋_GB2312" w:hAnsi="仿宋_GB2312" w:eastAsia="仿宋_GB2312" w:cs="仿宋_GB2312"/>
          <w:sz w:val="36"/>
          <w:szCs w:val="36"/>
          <w:lang w:val="en-US" w:eastAsia="zh-CN"/>
        </w:rPr>
      </w:pPr>
      <w:r>
        <w:rPr>
          <w:rFonts w:hint="eastAsia" w:ascii="楷体_GB2312" w:hAnsi="楷体_GB2312" w:eastAsia="楷体_GB2312" w:cs="楷体_GB2312"/>
          <w:b/>
          <w:bCs/>
          <w:color w:val="auto"/>
          <w:kern w:val="2"/>
          <w:sz w:val="36"/>
          <w:szCs w:val="36"/>
          <w:lang w:val="en-US" w:eastAsia="zh-CN" w:bidi="ar-SA"/>
        </w:rPr>
        <w:t>六是真心实意办实事、惠民生</w:t>
      </w:r>
      <w:r>
        <w:rPr>
          <w:rFonts w:hint="eastAsia" w:ascii="仿宋_GB2312" w:hAnsi="仿宋_GB2312" w:eastAsia="仿宋_GB2312" w:cs="仿宋_GB2312"/>
          <w:sz w:val="36"/>
          <w:szCs w:val="36"/>
          <w:lang w:val="en-US" w:eastAsia="zh-CN"/>
        </w:rPr>
        <w:t>。集中力量做好普惠性、基础性、兜底性民生建设，对高速出口、铜都大道、刘金线沿线绿化、环境进行了提档改造升级，投入资金近1000万元，不断完善上冯片区和铜绿山片区基础设施建设，全域项目投入已超过2亿元。同时，拟配套5000万元项目，积极实施清洁家园行动，改善农村人居环境，努力让发展成果更多更公平惠及金湖百姓。</w:t>
      </w:r>
    </w:p>
    <w:p w14:paraId="1AAE20C6">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仿宋_GB2312" w:hAnsi="仿宋_GB2312" w:eastAsia="仿宋_GB2312" w:cs="仿宋_GB2312"/>
          <w:sz w:val="36"/>
          <w:szCs w:val="36"/>
        </w:rPr>
      </w:pPr>
    </w:p>
    <w:sectPr>
      <w:footerReference r:id="rId3" w:type="default"/>
      <w:pgSz w:w="11906" w:h="16838"/>
      <w:pgMar w:top="1587" w:right="1984" w:bottom="1587" w:left="181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1" w:fontKey="{ADEBA09C-A070-4FA2-ABF2-C8A0D58514CC}"/>
  </w:font>
  <w:font w:name="方正小标宋简体">
    <w:panose1 w:val="02000000000000000000"/>
    <w:charset w:val="86"/>
    <w:family w:val="auto"/>
    <w:pitch w:val="default"/>
    <w:sig w:usb0="00000001" w:usb1="08000000" w:usb2="00000000" w:usb3="00000000" w:csb0="00040000" w:csb1="00000000"/>
    <w:embedRegular r:id="rId2" w:fontKey="{6CA6793E-12E9-4666-A001-630E62209AC0}"/>
  </w:font>
  <w:font w:name="楷体_GB2312">
    <w:panose1 w:val="02010609030101010101"/>
    <w:charset w:val="86"/>
    <w:family w:val="auto"/>
    <w:pitch w:val="default"/>
    <w:sig w:usb0="00000001" w:usb1="080E0000" w:usb2="00000000" w:usb3="00000000" w:csb0="00040000" w:csb1="00000000"/>
    <w:embedRegular r:id="rId3" w:fontKey="{B1A593C8-D217-4F20-88FE-512A2DD26E2B}"/>
  </w:font>
  <w:font w:name="仿宋">
    <w:panose1 w:val="02010609060101010101"/>
    <w:charset w:val="86"/>
    <w:family w:val="modern"/>
    <w:pitch w:val="default"/>
    <w:sig w:usb0="800002BF" w:usb1="38CF7CFA" w:usb2="00000016" w:usb3="00000000" w:csb0="00040001" w:csb1="00000000"/>
    <w:embedRegular r:id="rId4" w:fontKey="{BFA5C90A-6811-479A-BB68-303CED6E99F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F8149">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477797">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6477797">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zZjc4ZDUxMzBkMDkyYjExNTdhYjFiNzBlNDBmMmEifQ=="/>
  </w:docVars>
  <w:rsids>
    <w:rsidRoot w:val="7D9FD135"/>
    <w:rsid w:val="1FF95976"/>
    <w:rsid w:val="282E57E4"/>
    <w:rsid w:val="3F57CDF7"/>
    <w:rsid w:val="4FFF9977"/>
    <w:rsid w:val="528955AD"/>
    <w:rsid w:val="57DF6446"/>
    <w:rsid w:val="5CCD647C"/>
    <w:rsid w:val="5D7D3F97"/>
    <w:rsid w:val="5F6F92BB"/>
    <w:rsid w:val="5F7D8AE7"/>
    <w:rsid w:val="5F7F62E2"/>
    <w:rsid w:val="65A13A93"/>
    <w:rsid w:val="66CD3553"/>
    <w:rsid w:val="66EF439F"/>
    <w:rsid w:val="6FB738C1"/>
    <w:rsid w:val="70FDCF0F"/>
    <w:rsid w:val="79E9DBA9"/>
    <w:rsid w:val="7CFE80AA"/>
    <w:rsid w:val="7D9FD135"/>
    <w:rsid w:val="7DCE812A"/>
    <w:rsid w:val="7EFF5AF5"/>
    <w:rsid w:val="7FAE0B68"/>
    <w:rsid w:val="7FBFAA70"/>
    <w:rsid w:val="7FEEAAB0"/>
    <w:rsid w:val="7FFEB9C3"/>
    <w:rsid w:val="7FFF16B6"/>
    <w:rsid w:val="9EF9B63A"/>
    <w:rsid w:val="9FFFCF1D"/>
    <w:rsid w:val="B3C7BD89"/>
    <w:rsid w:val="B3FECDD5"/>
    <w:rsid w:val="BD5EFA09"/>
    <w:rsid w:val="C5DC3F3E"/>
    <w:rsid w:val="D7B3C16C"/>
    <w:rsid w:val="D7F78240"/>
    <w:rsid w:val="DCF7C1DE"/>
    <w:rsid w:val="DEAF74A3"/>
    <w:rsid w:val="DF9E358A"/>
    <w:rsid w:val="DFFD156D"/>
    <w:rsid w:val="E7F65CE4"/>
    <w:rsid w:val="E7FF0879"/>
    <w:rsid w:val="E9FE0B98"/>
    <w:rsid w:val="EBA7F78D"/>
    <w:rsid w:val="EF1645DA"/>
    <w:rsid w:val="EFBFE268"/>
    <w:rsid w:val="F37F7846"/>
    <w:rsid w:val="F7EE60CF"/>
    <w:rsid w:val="F9FF75D7"/>
    <w:rsid w:val="FCEF85ED"/>
    <w:rsid w:val="FDF9730B"/>
    <w:rsid w:val="FEBD694A"/>
    <w:rsid w:val="FEF338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next w:val="1"/>
    <w:qFormat/>
    <w:uiPriority w:val="0"/>
    <w:pPr>
      <w:spacing w:after="120"/>
      <w:ind w:left="420" w:leftChars="200"/>
    </w:pPr>
    <w:rPr>
      <w:rFonts w:eastAsia="仿宋_GB2312"/>
      <w:sz w:val="32"/>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First Indent 2"/>
    <w:basedOn w:val="2"/>
    <w:next w:val="1"/>
    <w:unhideWhenUsed/>
    <w:qFormat/>
    <w:uiPriority w:val="0"/>
    <w:pPr>
      <w:ind w:firstLine="420" w:firstLineChars="200"/>
    </w:pPr>
  </w:style>
  <w:style w:type="paragraph" w:customStyle="1" w:styleId="8">
    <w:name w:val="公文正文"/>
    <w:basedOn w:val="1"/>
    <w:qFormat/>
    <w:uiPriority w:val="0"/>
    <w:pPr>
      <w:spacing w:line="560" w:lineRule="exact"/>
      <w:ind w:firstLine="420" w:firstLineChars="200"/>
    </w:pPr>
    <w:rPr>
      <w:rFonts w:hint="eastAsia" w:eastAsia="仿宋_GB2312"/>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6345</Words>
  <Characters>6469</Characters>
  <Lines>0</Lines>
  <Paragraphs>0</Paragraphs>
  <TotalTime>5</TotalTime>
  <ScaleCrop>false</ScaleCrop>
  <LinksUpToDate>false</LinksUpToDate>
  <CharactersWithSpaces>6472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2025-06-17T17:39:00Z</dcterms:created>
  <dc:creator>jhjb</dc:creator>
  <cp:lastModifiedBy>LENOVO2</cp:lastModifiedBy>
  <dcterms:modified xsi:type="dcterms:W3CDTF">2025-07-02T01:02:39Z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2386C5B5D5E44F6D9EA7874C473C49DC_13</vt:lpwstr>
  </property>
  <property fmtid="{D5CDD505-2E9C-101B-9397-08002B2CF9AE}" pid="4" name="KSOTemplateDocerSaveRecord">
    <vt:lpwstr>eyJoZGlkIjoiYTU3MjAzOGI1ZWM1NjI3YTE0MjIzZDIwNTMwM2NhZjEifQ==</vt:lpwstr>
  </property>
</Properties>
</file>