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项目基本情况表</w:t>
      </w:r>
    </w:p>
    <w:p>
      <w:pPr>
        <w:wordWrap w:val="0"/>
        <w:jc w:val="right"/>
        <w:rPr>
          <w:rFonts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       单位：万元</w:t>
      </w:r>
    </w:p>
    <w:tbl>
      <w:tblPr>
        <w:tblStyle w:val="2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7"/>
        <w:gridCol w:w="598"/>
        <w:gridCol w:w="503"/>
        <w:gridCol w:w="558"/>
        <w:gridCol w:w="184"/>
        <w:gridCol w:w="1671"/>
        <w:gridCol w:w="54"/>
        <w:gridCol w:w="318"/>
        <w:gridCol w:w="733"/>
        <w:gridCol w:w="200"/>
        <w:gridCol w:w="845"/>
        <w:gridCol w:w="263"/>
        <w:gridCol w:w="186"/>
        <w:gridCol w:w="549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吴魁阳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0714-8897466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尹义才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8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45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各项目单位</w:t>
            </w:r>
          </w:p>
        </w:tc>
        <w:tc>
          <w:tcPr>
            <w:tcW w:w="105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项目属性</w:t>
            </w:r>
          </w:p>
        </w:tc>
        <w:tc>
          <w:tcPr>
            <w:tcW w:w="3721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常年性□   一次性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阶段性□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1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项目计划起止时间</w:t>
            </w:r>
          </w:p>
        </w:tc>
        <w:tc>
          <w:tcPr>
            <w:tcW w:w="2970" w:type="dxa"/>
            <w:gridSpan w:val="5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2021.01-2021.12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项目实际执行时间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2021.01-2021.12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计划安排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实际到位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上级财政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单位自筹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项目主要工作内容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2022年义务教育</w:t>
            </w:r>
            <w:bookmarkStart w:id="0" w:name="_GoBack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全面改薄</w:t>
            </w:r>
            <w:bookmarkEnd w:id="0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程建设项目涉及到四个项目：殷祖镇初级中学教师周转房1050平方米，计划资金200万元；殷祖镇南峰中学新建教学楼1580平方米，计划资金238万元；刘仁八镇小学新建综合楼2000平方米及运动场8000平方米，计划资金575万元；义务教育项目建设前期费用253万元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项目绩效目标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预期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  <w:jc w:val="center"/>
        </w:trPr>
        <w:tc>
          <w:tcPr>
            <w:tcW w:w="74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满足学校教学和学生生活基本需要，确保学校安全，解决部分学校教师生活住宿问题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满足学校教学和学生生活基本需要，确保学校安全，解决部分学校教师生活住宿问题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其他说明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page" w:horzAnchor="margin" w:tblpXSpec="center" w:tblpY="2638"/>
        <w:tblW w:w="983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2591"/>
        <w:gridCol w:w="574"/>
        <w:gridCol w:w="2458"/>
        <w:gridCol w:w="661"/>
        <w:gridCol w:w="1831"/>
        <w:gridCol w:w="8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自评情况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自评分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审核情况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目标设定是否明确合理、执行是否到位、是否按期完成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目标设定合理，执行到位，能按期完成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资金管理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资金的相关管理制度是否健全以及落实到位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各项管理制度健全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财务信息是否真实、完整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财务信息真实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组织管理水平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落实较好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预算资金到位率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到位率=实际到位资金/年初预算安排资金×100%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资金落实到位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预算资金使用率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使用率=实际支付资金/实际到位资金×100%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资金落实部分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支出合理性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分配管理使用是否符合财经法规财务管理专项资金管理规定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符合财经法规财务管理专项资金管理规定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支出合规性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是否与预算不相符支出不合理铺张浪费预算已安排未及时支付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支出合规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建设期限18个月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按时限完成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新建校舍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2500元/平方米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维修运动场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500元/平方米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殷祖镇初级中学教师周转房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1050平方米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殷祖镇南峰中学新建教学楼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1580平方米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刘仁八镇小学新建综合楼、运动场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10000平方米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义务教育项目建设前期费用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253万元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小学辍学控制率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0.5%以下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初中辍学控制率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1.5%以下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小学班额控制数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45人以下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初中班额控制数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50人以下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教师岗位合格率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教师学历达标率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工程质量达标率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减少修缮维修经费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0.5万元/年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提升学校办学条件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办学水平提升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促进义务教育发展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有效促进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可持续影响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对改善办学条件的作用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改善良好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项目支出绩效自评指标表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ZjRhMzRkMmIxMjg0ZjhkZjlmZjE1ODQ5MmZkMGEifQ=="/>
  </w:docVars>
  <w:rsids>
    <w:rsidRoot w:val="64F4019C"/>
    <w:rsid w:val="151049F1"/>
    <w:rsid w:val="64F4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415</Words>
  <Characters>426</Characters>
  <Lines>0</Lines>
  <Paragraphs>0</Paragraphs>
  <TotalTime>4</TotalTime>
  <ScaleCrop>false</ScaleCrop>
  <LinksUpToDate>false</LinksUpToDate>
  <CharactersWithSpaces>439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2023-09-14T01:49:00Z</dcterms:created>
  <dc:creator>子虚</dc:creator>
  <cp:lastModifiedBy>Unicorn ଓ</cp:lastModifiedBy>
  <dcterms:modified xsi:type="dcterms:W3CDTF">2023-09-14T03:56:20Z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C7128C76B16341F991796F7CFBF24CF7_13</vt:lpwstr>
  </property>
</Properties>
</file>