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黑体"/>
          <w:bCs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/>
          <w:sz w:val="44"/>
          <w:szCs w:val="44"/>
          <w:lang w:val="en-US" w:eastAsia="zh-CN"/>
        </w:rPr>
        <w:t>龙凤山果蔬小镇</w:t>
      </w:r>
      <w:r>
        <w:rPr>
          <w:rFonts w:hint="eastAsia" w:ascii="方正大标宋简体" w:hAnsi="方正大标宋简体" w:eastAsia="方正大标宋简体" w:cs="方正大标宋简体"/>
          <w:b/>
          <w:sz w:val="44"/>
          <w:szCs w:val="44"/>
        </w:rPr>
        <w:t>项目支出绩效自评报告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（一）项目单位基本情况。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龙凤山果蔬特色小镇”创建工作于2020年9月通过了备案、立项等相关手续。“刘仁八镇果蔬小镇龙凤山景区道路拓展基础建设项目”是“龙凤山果蔬特色小镇”创建中的基础设施建设配套项目。项目建设目的是为“龙凤山果蔬特色小镇”创建打好前期基础。资金投向主要是投入“刘仁八镇果蔬小镇龙凤山景区道路拓展基础项目”建设，项目建设财务管理项目资金专款专用，项目管理制度齐全、建设进展顺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hAnsi="Times New Roman" w:cs="Times New Roman" w:asciiTheme="minorHAnsi" w:eastAsiaTheme="minor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小镇园区是五彩缤纷的美丽园区。四季花香、 四季果甜、四季菜绿、环境宜人、生态迷人。园区内小桥流水、鸟语花香的 500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㎡的特大型生态餐厅景色怡人；园区两旁各 200米的绿色生态长廊春意盎然；200㎡的儿童摸鱼池、500 ㎡生态垂钓池如两颗水上明珠镶嵌在生态园区内，熠熠生辉；园区内还修建有500亩设施蔬菜标准园、500亩生态水果种植园、500亩高效水产养殖园、1000 亩高效水稻种植园。与之配套建设了5000 ㎡的农产品加工厂和容量1080吨的冷库保鲜库，购置有4辆农产品保鲜物流车，在紧邻316省道的园区入口处修建1000 ㎡的农产品田头市场。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（二）项目资金预算（包括财政资金、其他资金）和绩效目标情况。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1、项目资金预算：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实际到位奖补资金150万元，其中包括2021年上级奖补资金60万元和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2022年度上级奖补资金90万元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、项目年度预期绩效目标: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龙凤山果蔬特色小镇”于2020年9月通过了备案、立项等相关手续。“刘仁八镇果蔬小镇龙凤山景区道路拓展基础建设项目”是“龙凤山果蔬特色小镇”中龙凤山旅游品牌提升配套基础设施建设项目。实施项目建设目的是为果蔬特色小镇建设前期建设打好前期基础。资金投向主要投入“刘仁八镇果蔬小镇龙凤山景区道路拓展基础项目”建设。项目建设绩效目标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成本目标：拓宽景区道路10公里及公路基础设施建设，降坡、铺设泄洪管道等路基管网工作；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时效目标：建设时间为2021年6月至2021年12月；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质量目标：按设计要求达到相关标准；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质量指标：公路基础设施建设，降坡、铺设泄洪管道等路基管网建设符合要求；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效益目标：项目建成投产后增收200.96万元。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社会效益：带动20人就业。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仿宋_GB2312" w:hAnsi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二、绩效自评工作开展情况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项目初期概算建公路长约10公里，项目建设期间依据实际情况减少了弯路，通过调整减少了建设路程。验收决算总支出264.01万元，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其中2022年实际支出90万元，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项目建设单位依据实际情况调整资金，控制成本的目标。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三、综合评价结论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对项目及绩效进行客观、清晰的概括性评价。绩效评价等级划分标准为：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97分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四、绩效目标实现情况分析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（一）项目资金情况分析。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1、项目资金到位情况分析。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/>
          <w:sz w:val="32"/>
          <w:szCs w:val="32"/>
          <w:lang w:eastAsia="zh-CN"/>
        </w:rPr>
        <w:t>资金实际到位</w:t>
      </w:r>
      <w:r>
        <w:rPr>
          <w:rFonts w:hint="eastAsia" w:ascii="仿宋_GB2312"/>
          <w:sz w:val="32"/>
          <w:szCs w:val="32"/>
          <w:lang w:val="en-US" w:eastAsia="zh-CN"/>
        </w:rPr>
        <w:t>90万元，资金来源于</w:t>
      </w:r>
      <w:r>
        <w:rPr>
          <w:rFonts w:hint="default" w:ascii="仿宋_GB2312"/>
          <w:sz w:val="32"/>
          <w:szCs w:val="32"/>
          <w:lang w:eastAsia="zh-CN"/>
        </w:rPr>
        <w:t>大冶市发展和</w:t>
      </w:r>
      <w:r>
        <w:rPr>
          <w:rFonts w:hint="eastAsia" w:ascii="仿宋_GB2312"/>
          <w:sz w:val="32"/>
          <w:szCs w:val="32"/>
          <w:lang w:eastAsia="zh-CN"/>
        </w:rPr>
        <w:t>改革</w:t>
      </w:r>
      <w:r>
        <w:rPr>
          <w:rFonts w:hint="default" w:ascii="仿宋_GB2312"/>
          <w:sz w:val="32"/>
          <w:szCs w:val="32"/>
          <w:lang w:eastAsia="zh-CN"/>
        </w:rPr>
        <w:t>局拨果蔬小镇奖补资金</w:t>
      </w:r>
      <w:r>
        <w:rPr>
          <w:rFonts w:hint="eastAsia" w:ascii="仿宋_GB2312"/>
          <w:sz w:val="32"/>
          <w:szCs w:val="32"/>
          <w:lang w:eastAsia="zh-CN"/>
        </w:rPr>
        <w:t>，</w:t>
      </w:r>
      <w:r>
        <w:rPr>
          <w:rFonts w:hint="eastAsia" w:ascii="仿宋_GB2312"/>
          <w:sz w:val="32"/>
          <w:szCs w:val="32"/>
          <w:lang w:val="en-US" w:eastAsia="zh-CN"/>
        </w:rPr>
        <w:t>资金到位率100%。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2、项目资金执行情况分析。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eastAsia="zh-CN"/>
        </w:rPr>
        <w:t>项目</w:t>
      </w:r>
      <w:r>
        <w:rPr>
          <w:rFonts w:hint="eastAsia" w:ascii="仿宋_GB2312"/>
          <w:sz w:val="32"/>
          <w:szCs w:val="32"/>
          <w:lang w:val="en-US" w:eastAsia="zh-CN"/>
        </w:rPr>
        <w:t>2022年实际支出90万元</w:t>
      </w:r>
      <w:r>
        <w:rPr>
          <w:rFonts w:hint="eastAsia" w:ascii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项目资金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全部奖补给大冶市龙凤山农业开发集团有限公司用于2.36公里公路两侧山体保护、公路两侧植树绿化。其中清理山皮杂树及灌木丛15148.8㎡、挖路槽土方45895.42m³、挖路槽石方68843.12m³、挖路床边土边沟成型土方473.4m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项目根据建设实际情况及时进行调整，财政拨款和企业自筹资金到位及时，项目资金执行情况管理到位。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3、项目资金管理情况分析。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hAnsi="Times New Roman" w:cs="Times New Roman" w:asciiTheme="minorHAnsi" w:eastAsiaTheme="minor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项目资金实行单列账户，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专款专用，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严格按照政府财务制度进行资金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outlineLvl w:val="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（二）项目绩效指标完成情况分析。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建设时间为2021年6月至202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年12月，按期完工。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修建2.36公里公路公路，清理山皮杂树及灌木丛15148.8㎡、挖路槽土方45895.42m³、挖路槽石方68843.12m³、挖路床边土边沟成型土方473.4m³。公路建设好后，较好的保护了山体，遇大风大雨也没有再出现山体滑坡泥石流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2、效益指标完成情况分析。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项目建成投产后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增收200.96万元。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游客量增加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经济效益有所增收。带动了2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人就业，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保障了群众在家门口就业的目的，保证了经济社会的稳定性和可持续性发展，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实现了较好的社会效益。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3、满意度指标完成情况分析。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项目建成后，景区可进入性提高，周边农户和游客十分满意。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五、绩效目标未完成原因和下一步改进措施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楷体_GB2312" w:hAnsi="黑体" w:eastAsia="楷体_GB2312" w:cs="黑体"/>
          <w:b/>
          <w:bCs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（一）绩效目标未完成原因。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绩效目标均已完成。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楷体_GB2312" w:hAnsi="黑体" w:eastAsia="楷体_GB2312" w:cs="黑体"/>
          <w:b/>
          <w:bCs/>
          <w:sz w:val="32"/>
          <w:szCs w:val="32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</w:rPr>
        <w:t>下一步改进措施。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项目建设虽然取得了初步成效，但后期对旅游景区的管理、维护和发展工作还需要进一步加强，提升旅游服务的质量与满意度。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绩效自评结果作为项目验收结果将在公开栏予以公示，接受大家监督。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七、绩效自评工作的经验、问题和建议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楷体_GB2312" w:hAnsi="黑体" w:eastAsia="楷体_GB2312" w:cs="黑体"/>
          <w:b/>
          <w:bCs/>
          <w:sz w:val="32"/>
          <w:szCs w:val="32"/>
          <w:highlight w:val="none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  <w:highlight w:val="none"/>
        </w:rPr>
        <w:t>（一）绩效自评工作的经验。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（1）资金下拨及使用严格按照项目预算执行，对项目进行严格管控；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（2）绩效运行跟踪监控管理、绩效评价实施管理，严格进行成本控制。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楷体_GB2312" w:hAnsi="黑体" w:eastAsia="楷体_GB2312" w:cs="黑体"/>
          <w:b/>
          <w:bCs/>
          <w:sz w:val="32"/>
          <w:szCs w:val="32"/>
          <w:highlight w:val="none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  <w:highlight w:val="none"/>
        </w:rPr>
        <w:t>（二）绩效自评存在的问题。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ascii="楷体_GB2312" w:hAnsi="黑体" w:eastAsia="楷体_GB2312" w:cs="黑体"/>
          <w:b/>
          <w:bCs/>
          <w:sz w:val="32"/>
          <w:szCs w:val="32"/>
          <w:highlight w:val="none"/>
        </w:rPr>
      </w:pPr>
      <w:r>
        <w:rPr>
          <w:rFonts w:hint="eastAsia" w:ascii="楷体_GB2312" w:hAnsi="黑体" w:eastAsia="楷体_GB2312" w:cs="黑体"/>
          <w:b/>
          <w:bCs/>
          <w:sz w:val="32"/>
          <w:szCs w:val="32"/>
          <w:highlight w:val="none"/>
        </w:rPr>
        <w:t>（三）解决问题的建议。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建议统一组织绩效评价培训，帮助各单位构建切实有效的绩效评价体系，在事前、事中、事后加强剪短，以便有效开展绩效评价工作。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八、其他需说明的问题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ascii="仿宋_GB2312" w:hAnsi="黑体" w:cs="黑体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spacing w:line="520" w:lineRule="exact"/>
        <w:ind w:firstLine="640" w:firstLineChars="200"/>
        <w:rPr>
          <w:rFonts w:ascii="仿宋_GB2312" w:hAnsi="黑体" w:cs="黑体"/>
          <w:bCs/>
          <w:color w:val="auto"/>
          <w:sz w:val="32"/>
          <w:szCs w:val="32"/>
        </w:rPr>
      </w:pPr>
    </w:p>
    <w:p>
      <w:pPr>
        <w:spacing w:line="520" w:lineRule="exact"/>
        <w:ind w:firstLine="3520" w:firstLineChars="1100"/>
        <w:rPr>
          <w:rFonts w:hint="eastAsia" w:ascii="仿宋_GB2312" w:hAnsi="黑体" w:eastAsia="仿宋_GB2312" w:cs="黑体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黑体" w:cs="黑体"/>
          <w:bCs/>
          <w:color w:val="auto"/>
          <w:sz w:val="32"/>
          <w:szCs w:val="32"/>
        </w:rPr>
        <w:t>大冶市</w:t>
      </w:r>
      <w:r>
        <w:rPr>
          <w:rFonts w:hint="eastAsia" w:ascii="仿宋_GB2312" w:hAnsi="黑体" w:cs="黑体"/>
          <w:bCs/>
          <w:color w:val="auto"/>
          <w:sz w:val="32"/>
          <w:szCs w:val="32"/>
          <w:lang w:eastAsia="zh-CN"/>
        </w:rPr>
        <w:t>刘仁八镇人民政府</w:t>
      </w:r>
    </w:p>
    <w:p>
      <w:pPr>
        <w:spacing w:line="520" w:lineRule="exact"/>
        <w:ind w:firstLine="4000" w:firstLineChars="1250"/>
        <w:rPr>
          <w:rFonts w:hint="eastAsia"/>
          <w:lang w:val="en-US" w:eastAsia="zh-CN"/>
        </w:rPr>
      </w:pPr>
      <w:r>
        <w:rPr>
          <w:rFonts w:hint="eastAsia" w:ascii="仿宋_GB2312" w:hAnsi="黑体" w:cs="黑体"/>
          <w:bCs/>
          <w:color w:val="auto"/>
          <w:sz w:val="32"/>
          <w:szCs w:val="32"/>
        </w:rPr>
        <w:t>202</w:t>
      </w:r>
      <w:r>
        <w:rPr>
          <w:rFonts w:hint="eastAsia" w:ascii="仿宋_GB2312" w:hAnsi="黑体" w:cs="黑体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黑体" w:cs="黑体"/>
          <w:bCs/>
          <w:color w:val="auto"/>
          <w:sz w:val="32"/>
          <w:szCs w:val="32"/>
        </w:rPr>
        <w:t>年</w:t>
      </w:r>
      <w:r>
        <w:rPr>
          <w:rFonts w:hint="eastAsia" w:ascii="仿宋_GB2312" w:hAnsi="黑体" w:cs="黑体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黑体" w:cs="黑体"/>
          <w:bCs/>
          <w:color w:val="auto"/>
          <w:sz w:val="32"/>
          <w:szCs w:val="32"/>
        </w:rPr>
        <w:t>月</w:t>
      </w:r>
      <w:r>
        <w:rPr>
          <w:rFonts w:hint="eastAsia" w:ascii="仿宋_GB2312" w:hAnsi="黑体" w:cs="黑体"/>
          <w:bCs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黑体" w:cs="黑体"/>
          <w:bCs/>
          <w:color w:val="auto"/>
          <w:sz w:val="32"/>
          <w:szCs w:val="32"/>
        </w:rPr>
        <w:t>日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5788D3"/>
    <w:multiLevelType w:val="singleLevel"/>
    <w:tmpl w:val="1F5788D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TBiNWUxZmYyYTliYWUwY2Y0MGRlNDNiMTg1YTUifQ=="/>
  </w:docVars>
  <w:rsids>
    <w:rsidRoot w:val="003227C6"/>
    <w:rsid w:val="000716F4"/>
    <w:rsid w:val="000B3313"/>
    <w:rsid w:val="00131E66"/>
    <w:rsid w:val="00153394"/>
    <w:rsid w:val="001F3335"/>
    <w:rsid w:val="00275F74"/>
    <w:rsid w:val="00296FAA"/>
    <w:rsid w:val="003227C6"/>
    <w:rsid w:val="003C7F3D"/>
    <w:rsid w:val="003E2D58"/>
    <w:rsid w:val="00484489"/>
    <w:rsid w:val="004E545B"/>
    <w:rsid w:val="005262E0"/>
    <w:rsid w:val="005D1EC5"/>
    <w:rsid w:val="006E2DAD"/>
    <w:rsid w:val="007C4527"/>
    <w:rsid w:val="007E41ED"/>
    <w:rsid w:val="00805206"/>
    <w:rsid w:val="00895090"/>
    <w:rsid w:val="008B4299"/>
    <w:rsid w:val="008F57B5"/>
    <w:rsid w:val="009369AD"/>
    <w:rsid w:val="0095376E"/>
    <w:rsid w:val="009701A0"/>
    <w:rsid w:val="00970DCD"/>
    <w:rsid w:val="00973B09"/>
    <w:rsid w:val="009D404A"/>
    <w:rsid w:val="00A22662"/>
    <w:rsid w:val="00A62D7B"/>
    <w:rsid w:val="00A66C8E"/>
    <w:rsid w:val="00A6725B"/>
    <w:rsid w:val="00AB4ED7"/>
    <w:rsid w:val="00AD645B"/>
    <w:rsid w:val="00B20A62"/>
    <w:rsid w:val="00B23631"/>
    <w:rsid w:val="00B6233A"/>
    <w:rsid w:val="00B934F0"/>
    <w:rsid w:val="00C57284"/>
    <w:rsid w:val="00CA746C"/>
    <w:rsid w:val="00CB270B"/>
    <w:rsid w:val="00CF6FF5"/>
    <w:rsid w:val="00D10062"/>
    <w:rsid w:val="00D57A51"/>
    <w:rsid w:val="00F05731"/>
    <w:rsid w:val="00F07833"/>
    <w:rsid w:val="00F41E2D"/>
    <w:rsid w:val="00FB1A00"/>
    <w:rsid w:val="00FC0EB9"/>
    <w:rsid w:val="0A682522"/>
    <w:rsid w:val="0E676315"/>
    <w:rsid w:val="10437DA6"/>
    <w:rsid w:val="12E52961"/>
    <w:rsid w:val="1D7F13B4"/>
    <w:rsid w:val="20897782"/>
    <w:rsid w:val="212E45FE"/>
    <w:rsid w:val="24CD3492"/>
    <w:rsid w:val="2781103B"/>
    <w:rsid w:val="34800D2F"/>
    <w:rsid w:val="3B135A0E"/>
    <w:rsid w:val="3D600CB3"/>
    <w:rsid w:val="3DAB4E56"/>
    <w:rsid w:val="3FC53C6A"/>
    <w:rsid w:val="42511DDD"/>
    <w:rsid w:val="45022147"/>
    <w:rsid w:val="462B3B29"/>
    <w:rsid w:val="501A1195"/>
    <w:rsid w:val="56673852"/>
    <w:rsid w:val="5BBB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line="240" w:lineRule="auto"/>
      <w:ind w:left="560" w:firstLine="420"/>
      <w:jc w:val="both"/>
    </w:pPr>
    <w:rPr>
      <w:rFonts w:ascii="幼圆" w:hAnsi="Calibri" w:eastAsia="幼圆" w:cs="Times New Roman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1925</Words>
  <Characters>2089</Characters>
  <Lines>4</Lines>
  <Paragraphs>1</Paragraphs>
  <TotalTime>1</TotalTime>
  <ScaleCrop>false</ScaleCrop>
  <LinksUpToDate>false</LinksUpToDate>
  <CharactersWithSpaces>2096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2018-03-23T09:11:00Z</dcterms:created>
  <dc:creator>冯妍妍/预算绩效管理处（行资处）/湖北省财政厅</dc:creator>
  <cp:lastModifiedBy>若若梨和</cp:lastModifiedBy>
  <cp:lastPrinted>2018-03-29T08:09:00Z</cp:lastPrinted>
  <dcterms:modified xsi:type="dcterms:W3CDTF">2023-08-24T01:24:43Z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A41FBEA92EE94772B2A1B19A746CAA3B_13</vt:lpwstr>
  </property>
</Properties>
</file>