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大冶市财政项目支出绩效自评报告</w:t>
      </w:r>
    </w:p>
    <w:p>
      <w:pPr>
        <w:jc w:val="center"/>
        <w:rPr>
          <w:rFonts w:ascii="仿宋_GB2312" w:hAnsi="黑体"/>
          <w:bCs/>
          <w:sz w:val="32"/>
          <w:szCs w:val="32"/>
        </w:rPr>
      </w:pPr>
    </w:p>
    <w:p>
      <w:pPr>
        <w:spacing w:line="52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一、基本情况</w:t>
      </w:r>
    </w:p>
    <w:p>
      <w:pPr>
        <w:spacing w:line="520" w:lineRule="exact"/>
        <w:ind w:firstLine="643" w:firstLineChars="200"/>
        <w:rPr>
          <w:rFonts w:ascii="楷体_GB2312" w:hAnsi="宋体" w:eastAsia="楷体_GB2312"/>
          <w:b/>
          <w:sz w:val="32"/>
          <w:szCs w:val="32"/>
        </w:rPr>
      </w:pPr>
      <w:r>
        <w:rPr>
          <w:rFonts w:hint="eastAsia" w:ascii="楷体_GB2312" w:hAnsi="宋体" w:eastAsia="楷体_GB2312"/>
          <w:b/>
          <w:sz w:val="32"/>
          <w:szCs w:val="32"/>
        </w:rPr>
        <w:t>（一）项目单位基本情况。</w:t>
      </w:r>
    </w:p>
    <w:p>
      <w:pPr>
        <w:spacing w:line="520" w:lineRule="exact"/>
        <w:ind w:firstLine="640" w:firstLineChars="200"/>
        <w:outlineLvl w:val="0"/>
        <w:rPr>
          <w:rFonts w:hint="eastAsia" w:ascii="仿宋_GB2312" w:hAnsi="宋体"/>
          <w:sz w:val="32"/>
          <w:szCs w:val="32"/>
          <w:lang w:val="en-US" w:eastAsia="zh-CN"/>
        </w:rPr>
      </w:pPr>
      <w:r>
        <w:rPr>
          <w:rFonts w:hint="eastAsia" w:ascii="仿宋_GB2312" w:hAnsi="宋体"/>
          <w:sz w:val="32"/>
          <w:szCs w:val="32"/>
          <w:lang w:val="en-US" w:eastAsia="zh-CN"/>
        </w:rPr>
        <w:t>根据市政府第75次常务会议纪要精神，市城管局（园林局）和金湖街道办事处与2020年6月1日就碧桂园湿地公园和矿冶大道的道路绿化维护进行了正式移交。目前由金湖生态园项目建设指挥部统一管理。</w:t>
      </w:r>
    </w:p>
    <w:p>
      <w:pPr>
        <w:spacing w:line="520" w:lineRule="exact"/>
        <w:ind w:firstLine="643" w:firstLineChars="200"/>
        <w:outlineLvl w:val="0"/>
        <w:rPr>
          <w:rFonts w:ascii="楷体_GB2312" w:eastAsia="楷体_GB2312"/>
          <w:b/>
          <w:sz w:val="32"/>
          <w:szCs w:val="32"/>
        </w:rPr>
      </w:pPr>
      <w:r>
        <w:rPr>
          <w:rFonts w:hint="eastAsia" w:ascii="楷体_GB2312" w:eastAsia="楷体_GB2312"/>
          <w:b/>
          <w:sz w:val="32"/>
          <w:szCs w:val="32"/>
        </w:rPr>
        <w:t>（二）项目资金预算（包括财政资金、其他资金）和绩效目标情况。</w:t>
      </w:r>
    </w:p>
    <w:p>
      <w:pPr>
        <w:spacing w:line="520" w:lineRule="exact"/>
        <w:ind w:firstLine="640" w:firstLineChars="200"/>
        <w:rPr>
          <w:rFonts w:hint="default" w:ascii="仿宋_GB2312"/>
          <w:sz w:val="32"/>
          <w:szCs w:val="32"/>
          <w:lang w:val="en-US" w:eastAsia="zh-CN"/>
        </w:rPr>
      </w:pPr>
      <w:r>
        <w:rPr>
          <w:rFonts w:hint="eastAsia" w:ascii="仿宋_GB2312"/>
          <w:sz w:val="32"/>
          <w:szCs w:val="32"/>
          <w:lang w:val="en-US" w:eastAsia="zh-CN"/>
        </w:rPr>
        <w:t>市财政拨入231.52</w:t>
      </w:r>
      <w:bookmarkStart w:id="0" w:name="_GoBack"/>
      <w:bookmarkEnd w:id="0"/>
      <w:r>
        <w:rPr>
          <w:rFonts w:hint="eastAsia" w:ascii="仿宋_GB2312"/>
          <w:sz w:val="32"/>
          <w:szCs w:val="32"/>
          <w:lang w:val="en-US" w:eastAsia="zh-CN"/>
        </w:rPr>
        <w:t>万元。</w:t>
      </w:r>
    </w:p>
    <w:p>
      <w:pPr>
        <w:spacing w:line="520" w:lineRule="exact"/>
        <w:ind w:firstLine="560" w:firstLineChars="200"/>
        <w:rPr>
          <w:rFonts w:hint="eastAsia" w:ascii="仿宋_GB2312" w:hAnsi="宋体"/>
          <w:sz w:val="32"/>
          <w:szCs w:val="32"/>
          <w:lang w:val="en-US" w:eastAsia="zh-CN"/>
        </w:rPr>
      </w:pPr>
      <w:r>
        <w:rPr>
          <w:rFonts w:hint="eastAsia" w:ascii="宋体" w:hAnsi="宋体" w:cs="宋体"/>
          <w:color w:val="000000"/>
          <w:spacing w:val="-20"/>
          <w:kern w:val="0"/>
          <w:sz w:val="32"/>
          <w:szCs w:val="32"/>
        </w:rPr>
        <w:t xml:space="preserve"> 本项目绩效目标为</w:t>
      </w:r>
      <w:r>
        <w:rPr>
          <w:rFonts w:hint="eastAsia" w:ascii="宋体" w:hAnsi="宋体" w:cs="宋体"/>
          <w:color w:val="000000"/>
          <w:spacing w:val="-20"/>
          <w:kern w:val="0"/>
          <w:sz w:val="32"/>
          <w:szCs w:val="32"/>
          <w:lang w:eastAsia="zh-CN"/>
        </w:rPr>
        <w:t>：</w:t>
      </w:r>
      <w:r>
        <w:rPr>
          <w:rFonts w:hint="eastAsia" w:ascii="仿宋_GB2312" w:hAnsi="宋体"/>
          <w:sz w:val="32"/>
          <w:szCs w:val="32"/>
          <w:lang w:val="en-US" w:eastAsia="zh-CN"/>
        </w:rPr>
        <w:t>贯彻落实“绿水青山就是金山银山”，“山水林田湖草生命共同体”等理念。保护当地生态环境，促进地方生态旅游业发展，繁荣地方经济。</w:t>
      </w:r>
    </w:p>
    <w:p>
      <w:pPr>
        <w:spacing w:line="520" w:lineRule="exact"/>
        <w:ind w:firstLine="640" w:firstLineChars="200"/>
        <w:rPr>
          <w:rFonts w:ascii="仿宋_GB2312" w:hAnsi="黑体" w:cs="黑体"/>
          <w:b/>
          <w:bCs/>
          <w:sz w:val="32"/>
          <w:szCs w:val="32"/>
        </w:rPr>
      </w:pPr>
      <w:r>
        <w:rPr>
          <w:rFonts w:hint="eastAsia" w:ascii="黑体" w:hAnsi="黑体" w:eastAsia="黑体" w:cs="黑体"/>
          <w:bCs/>
          <w:sz w:val="32"/>
          <w:szCs w:val="32"/>
        </w:rPr>
        <w:t>二、绩效自评工作开展情况</w:t>
      </w:r>
    </w:p>
    <w:p>
      <w:pPr>
        <w:ind w:firstLine="640" w:firstLineChars="200"/>
        <w:rPr>
          <w:rFonts w:ascii="仿宋_GB2312" w:hAnsi="宋体"/>
          <w:sz w:val="32"/>
          <w:szCs w:val="32"/>
        </w:rPr>
      </w:pPr>
      <w:r>
        <w:rPr>
          <w:rFonts w:hint="eastAsia" w:ascii="仿宋_GB2312"/>
          <w:sz w:val="32"/>
          <w:szCs w:val="32"/>
        </w:rPr>
        <w:t>根据市人民政府办公室《关于开展</w:t>
      </w:r>
      <w:r>
        <w:rPr>
          <w:rFonts w:ascii="仿宋_GB2312"/>
          <w:sz w:val="32"/>
          <w:szCs w:val="32"/>
        </w:rPr>
        <w:t>20</w:t>
      </w:r>
      <w:r>
        <w:rPr>
          <w:rFonts w:hint="eastAsia" w:ascii="仿宋_GB2312"/>
          <w:sz w:val="32"/>
          <w:szCs w:val="32"/>
          <w:lang w:val="en-US" w:eastAsia="zh-CN"/>
        </w:rPr>
        <w:t>23</w:t>
      </w:r>
      <w:r>
        <w:rPr>
          <w:rFonts w:hint="eastAsia" w:ascii="仿宋_GB2312"/>
          <w:sz w:val="32"/>
          <w:szCs w:val="32"/>
        </w:rPr>
        <w:t>年财政支出绩效评价工作的通知》文件要求，我处组织有相关人员参加绩效目标评价专班，一是对</w:t>
      </w:r>
      <w:r>
        <w:rPr>
          <w:rFonts w:hint="eastAsia" w:ascii="仿宋_GB2312"/>
          <w:sz w:val="32"/>
          <w:szCs w:val="32"/>
          <w:lang w:val="en-US" w:eastAsia="zh-CN"/>
        </w:rPr>
        <w:t>碧桂园湿地公园及矿冶大道绿化维护经费</w:t>
      </w:r>
      <w:r>
        <w:rPr>
          <w:rFonts w:hint="eastAsia" w:ascii="宋体" w:hAnsi="宋体" w:cs="宋体"/>
          <w:color w:val="000000"/>
          <w:kern w:val="0"/>
          <w:sz w:val="32"/>
          <w:szCs w:val="32"/>
        </w:rPr>
        <w:t>项目</w:t>
      </w:r>
      <w:r>
        <w:rPr>
          <w:rFonts w:hint="eastAsia" w:ascii="仿宋_GB2312"/>
          <w:sz w:val="32"/>
          <w:szCs w:val="32"/>
        </w:rPr>
        <w:t>实施情况进行自我考核考评；二是开展项目区</w:t>
      </w:r>
      <w:r>
        <w:rPr>
          <w:rFonts w:hint="eastAsia" w:ascii="仿宋_GB2312"/>
          <w:sz w:val="32"/>
          <w:szCs w:val="32"/>
          <w:lang w:val="en-US" w:eastAsia="zh-CN"/>
        </w:rPr>
        <w:t>居民</w:t>
      </w:r>
      <w:r>
        <w:rPr>
          <w:rFonts w:hint="eastAsia" w:ascii="仿宋_GB2312"/>
          <w:sz w:val="32"/>
          <w:szCs w:val="32"/>
        </w:rPr>
        <w:t>群众对项目实施和服务满意度等情况的调查。三是评价专班通过查看项目资料，比对相关资料信息，最后</w:t>
      </w:r>
      <w:r>
        <w:rPr>
          <w:rFonts w:hint="eastAsia" w:cs="仿宋_GB2312"/>
          <w:kern w:val="0"/>
          <w:sz w:val="32"/>
          <w:szCs w:val="32"/>
        </w:rPr>
        <w:t>对照市财政局制定的大冶市财政项目支出</w:t>
      </w:r>
      <w:r>
        <w:rPr>
          <w:rFonts w:hint="eastAsia"/>
          <w:sz w:val="32"/>
          <w:szCs w:val="32"/>
        </w:rPr>
        <w:t>绩效评价考核指标表进行公平、公正的逐项评价打分，</w:t>
      </w:r>
      <w:r>
        <w:rPr>
          <w:rFonts w:hint="eastAsia" w:ascii="仿宋_GB2312"/>
          <w:sz w:val="32"/>
          <w:szCs w:val="32"/>
        </w:rPr>
        <w:t>对</w:t>
      </w:r>
      <w:r>
        <w:rPr>
          <w:rFonts w:hint="eastAsia"/>
          <w:sz w:val="32"/>
          <w:szCs w:val="32"/>
          <w:lang w:val="en-US" w:eastAsia="zh-CN"/>
        </w:rPr>
        <w:t>碧桂园湿地公园及矿冶大道绿化维护经费</w:t>
      </w:r>
      <w:r>
        <w:rPr>
          <w:rFonts w:hint="eastAsia"/>
          <w:sz w:val="32"/>
          <w:szCs w:val="32"/>
        </w:rPr>
        <w:t>项目的实</w:t>
      </w:r>
      <w:r>
        <w:rPr>
          <w:rFonts w:hint="eastAsia" w:ascii="仿宋_GB2312"/>
          <w:sz w:val="32"/>
          <w:szCs w:val="32"/>
        </w:rPr>
        <w:t>施管理、产量效益、资金使用等进行综合评价，并编写形成项目绩效评价报告。</w:t>
      </w:r>
      <w:r>
        <w:rPr>
          <w:rFonts w:hint="eastAsia"/>
          <w:sz w:val="32"/>
          <w:szCs w:val="32"/>
        </w:rPr>
        <w:t>最终得出总分值和评价结论。</w:t>
      </w:r>
    </w:p>
    <w:p>
      <w:pPr>
        <w:spacing w:line="52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三、综合评价结论</w:t>
      </w:r>
    </w:p>
    <w:p>
      <w:pPr>
        <w:spacing w:line="520" w:lineRule="exact"/>
        <w:ind w:firstLine="640" w:firstLineChars="200"/>
        <w:jc w:val="left"/>
        <w:rPr>
          <w:rFonts w:ascii="仿宋_GB2312"/>
          <w:sz w:val="32"/>
          <w:szCs w:val="32"/>
        </w:rPr>
      </w:pPr>
      <w:r>
        <w:rPr>
          <w:rFonts w:hint="eastAsia" w:ascii="仿宋_GB2312"/>
          <w:sz w:val="32"/>
          <w:szCs w:val="32"/>
          <w:lang w:val="en-US" w:eastAsia="zh-CN"/>
        </w:rPr>
        <w:t>综合评价结论为优（98分）</w:t>
      </w:r>
    </w:p>
    <w:p>
      <w:pPr>
        <w:spacing w:line="52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四、绩效目标实现情况分析</w:t>
      </w:r>
    </w:p>
    <w:p>
      <w:pPr>
        <w:spacing w:line="520" w:lineRule="exact"/>
        <w:ind w:firstLine="643" w:firstLineChars="200"/>
        <w:outlineLvl w:val="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（一）项目资金情况分析。</w:t>
      </w:r>
    </w:p>
    <w:p>
      <w:pPr>
        <w:spacing w:line="520" w:lineRule="exact"/>
        <w:ind w:firstLine="640" w:firstLineChars="200"/>
        <w:rPr>
          <w:rFonts w:hint="default" w:ascii="仿宋_GB2312" w:eastAsia="仿宋_GB2312"/>
          <w:sz w:val="32"/>
          <w:szCs w:val="32"/>
          <w:lang w:val="en-US" w:eastAsia="zh-CN"/>
        </w:rPr>
      </w:pPr>
      <w:r>
        <w:rPr>
          <w:rFonts w:hint="eastAsia" w:ascii="仿宋_GB2312"/>
          <w:sz w:val="32"/>
          <w:szCs w:val="32"/>
        </w:rPr>
        <w:t>1、项目资金到位情况分析。</w:t>
      </w:r>
      <w:r>
        <w:rPr>
          <w:rFonts w:hint="eastAsia" w:ascii="仿宋_GB2312"/>
          <w:sz w:val="32"/>
          <w:szCs w:val="32"/>
          <w:lang w:val="en-US" w:eastAsia="zh-CN"/>
        </w:rPr>
        <w:t>2022年12月市财政局拨付项目资金231.52万元。</w:t>
      </w:r>
      <w:r>
        <w:rPr>
          <w:rFonts w:hint="eastAsia" w:ascii="仿宋_GB2312"/>
          <w:sz w:val="32"/>
          <w:szCs w:val="32"/>
        </w:rPr>
        <w:t>该工程项目资金共计</w:t>
      </w:r>
      <w:r>
        <w:rPr>
          <w:rFonts w:hint="eastAsia" w:ascii="仿宋_GB2312"/>
          <w:sz w:val="32"/>
          <w:szCs w:val="32"/>
          <w:lang w:val="en-US" w:eastAsia="zh-CN"/>
        </w:rPr>
        <w:t>250.09</w:t>
      </w:r>
      <w:r>
        <w:rPr>
          <w:rFonts w:hint="eastAsia" w:ascii="仿宋_GB2312"/>
          <w:sz w:val="32"/>
          <w:szCs w:val="32"/>
        </w:rPr>
        <w:t>万元，到位率达</w:t>
      </w:r>
      <w:r>
        <w:rPr>
          <w:rFonts w:hint="eastAsia" w:ascii="仿宋_GB2312"/>
          <w:sz w:val="32"/>
          <w:szCs w:val="32"/>
          <w:lang w:val="en-US" w:eastAsia="zh-CN"/>
        </w:rPr>
        <w:t>93</w:t>
      </w:r>
      <w:r>
        <w:rPr>
          <w:rFonts w:ascii="仿宋_GB2312"/>
          <w:sz w:val="32"/>
          <w:szCs w:val="32"/>
        </w:rPr>
        <w:t>%</w:t>
      </w:r>
      <w:r>
        <w:rPr>
          <w:rFonts w:hint="eastAsia" w:ascii="仿宋_GB2312"/>
          <w:sz w:val="32"/>
          <w:szCs w:val="32"/>
        </w:rPr>
        <w:t>。</w:t>
      </w:r>
    </w:p>
    <w:p>
      <w:pPr>
        <w:spacing w:line="520" w:lineRule="exact"/>
        <w:ind w:firstLine="640" w:firstLineChars="200"/>
        <w:rPr>
          <w:rFonts w:hint="default" w:ascii="宋体" w:hAnsi="宋体" w:cs="宋体"/>
          <w:color w:val="000000"/>
          <w:kern w:val="0"/>
          <w:sz w:val="32"/>
          <w:szCs w:val="32"/>
          <w:lang w:val="en-US" w:eastAsia="zh-CN"/>
        </w:rPr>
      </w:pPr>
      <w:r>
        <w:rPr>
          <w:rFonts w:hint="eastAsia" w:ascii="仿宋_GB2312"/>
          <w:sz w:val="32"/>
          <w:szCs w:val="32"/>
        </w:rPr>
        <w:t>2、项目资金执行情况分析。</w:t>
      </w:r>
      <w:r>
        <w:rPr>
          <w:rFonts w:hint="eastAsia"/>
          <w:sz w:val="32"/>
          <w:szCs w:val="32"/>
          <w:lang w:val="en-US" w:eastAsia="zh-CN"/>
        </w:rPr>
        <w:t>碧桂园湿地公园及矿冶大道绿化维护经费</w:t>
      </w:r>
      <w:r>
        <w:rPr>
          <w:rFonts w:hint="eastAsia"/>
          <w:sz w:val="32"/>
          <w:szCs w:val="32"/>
        </w:rPr>
        <w:t>项目</w:t>
      </w:r>
      <w:r>
        <w:rPr>
          <w:rFonts w:hint="eastAsia" w:ascii="宋体" w:hAnsi="宋体" w:cs="宋体"/>
          <w:color w:val="000000"/>
          <w:kern w:val="0"/>
          <w:sz w:val="32"/>
          <w:szCs w:val="32"/>
        </w:rPr>
        <w:t>主要用于工程款</w:t>
      </w:r>
      <w:r>
        <w:rPr>
          <w:rFonts w:hint="eastAsia" w:ascii="宋体" w:hAnsi="宋体" w:cs="宋体"/>
          <w:color w:val="000000"/>
          <w:kern w:val="0"/>
          <w:sz w:val="32"/>
          <w:szCs w:val="32"/>
          <w:lang w:val="en-US" w:eastAsia="zh-CN"/>
        </w:rPr>
        <w:t>支付。其中支付湖北大兴炉冶工程项目管理有限公司养护费共计194.56万元。剩余36.96万元。</w:t>
      </w:r>
    </w:p>
    <w:p>
      <w:pPr>
        <w:spacing w:line="520" w:lineRule="exact"/>
        <w:ind w:firstLine="640" w:firstLineChars="200"/>
        <w:rPr>
          <w:rFonts w:ascii="仿宋_GB2312"/>
          <w:sz w:val="32"/>
          <w:szCs w:val="32"/>
        </w:rPr>
      </w:pPr>
      <w:r>
        <w:rPr>
          <w:rFonts w:hint="eastAsia" w:ascii="仿宋_GB2312"/>
          <w:sz w:val="32"/>
          <w:szCs w:val="32"/>
        </w:rPr>
        <w:t>3、项目资金管理情况分析。所有资金公开透明，没有截留和挪用情况。</w:t>
      </w:r>
    </w:p>
    <w:p>
      <w:pPr>
        <w:spacing w:line="520" w:lineRule="exact"/>
        <w:ind w:firstLine="643" w:firstLineChars="200"/>
        <w:outlineLvl w:val="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（二）项目绩效指标完成情况分析。</w:t>
      </w:r>
    </w:p>
    <w:p>
      <w:pPr>
        <w:spacing w:line="520" w:lineRule="exact"/>
        <w:ind w:firstLine="640" w:firstLineChars="200"/>
        <w:rPr>
          <w:rFonts w:hint="default" w:ascii="仿宋_GB2312" w:eastAsia="仿宋_GB2312"/>
          <w:sz w:val="32"/>
          <w:szCs w:val="32"/>
          <w:lang w:val="en-US" w:eastAsia="zh-CN"/>
        </w:rPr>
      </w:pPr>
      <w:r>
        <w:rPr>
          <w:rFonts w:hint="eastAsia" w:ascii="仿宋_GB2312"/>
          <w:sz w:val="32"/>
          <w:szCs w:val="32"/>
        </w:rPr>
        <w:t>1、产出指标完成情况分析。</w:t>
      </w:r>
      <w:r>
        <w:rPr>
          <w:rFonts w:hint="eastAsia" w:ascii="仿宋_GB2312"/>
          <w:sz w:val="32"/>
          <w:szCs w:val="32"/>
          <w:lang w:val="en-US" w:eastAsia="zh-CN"/>
        </w:rPr>
        <w:t>碧桂园湿地公园及矿冶大道路段已完成树木、灌木、绿篱、草坪等养护。做好各类灌木修剪、施肥、除草、松土，并进行了病虫害防治。</w:t>
      </w:r>
    </w:p>
    <w:p>
      <w:pPr>
        <w:spacing w:line="520" w:lineRule="exact"/>
        <w:ind w:firstLine="640" w:firstLineChars="200"/>
        <w:rPr>
          <w:rFonts w:hint="default" w:ascii="仿宋_GB2312" w:eastAsia="仿宋_GB2312"/>
          <w:sz w:val="32"/>
          <w:szCs w:val="32"/>
          <w:lang w:val="en-US" w:eastAsia="zh-CN"/>
        </w:rPr>
      </w:pPr>
      <w:r>
        <w:rPr>
          <w:rFonts w:hint="eastAsia" w:ascii="仿宋_GB2312"/>
          <w:sz w:val="32"/>
          <w:szCs w:val="32"/>
        </w:rPr>
        <w:t>2、效益指标完成情况分析。</w:t>
      </w:r>
      <w:r>
        <w:rPr>
          <w:rFonts w:hint="eastAsia" w:ascii="宋体" w:hAnsi="宋体" w:cs="宋体"/>
          <w:color w:val="000000"/>
          <w:kern w:val="0"/>
          <w:sz w:val="32"/>
          <w:szCs w:val="32"/>
        </w:rPr>
        <w:t>通过</w:t>
      </w:r>
      <w:r>
        <w:rPr>
          <w:rFonts w:hint="eastAsia" w:ascii="宋体" w:hAnsi="宋体" w:cs="宋体"/>
          <w:color w:val="000000"/>
          <w:kern w:val="0"/>
          <w:sz w:val="32"/>
          <w:szCs w:val="32"/>
          <w:lang w:val="en-US" w:eastAsia="zh-CN"/>
        </w:rPr>
        <w:t>该</w:t>
      </w:r>
      <w:r>
        <w:rPr>
          <w:rFonts w:hint="eastAsia" w:ascii="宋体" w:hAnsi="宋体" w:cs="宋体"/>
          <w:color w:val="000000"/>
          <w:kern w:val="0"/>
          <w:sz w:val="32"/>
          <w:szCs w:val="32"/>
        </w:rPr>
        <w:t>项目治理，</w:t>
      </w:r>
      <w:r>
        <w:rPr>
          <w:rFonts w:hint="eastAsia" w:ascii="宋体" w:hAnsi="宋体" w:cs="宋体"/>
          <w:color w:val="000000"/>
          <w:kern w:val="0"/>
          <w:sz w:val="32"/>
          <w:szCs w:val="32"/>
          <w:lang w:val="en-US" w:eastAsia="zh-CN"/>
        </w:rPr>
        <w:t>保护</w:t>
      </w:r>
      <w:r>
        <w:rPr>
          <w:rFonts w:hint="eastAsia" w:ascii="宋体" w:hAnsi="宋体" w:cs="宋体"/>
          <w:color w:val="000000"/>
          <w:kern w:val="0"/>
          <w:sz w:val="32"/>
          <w:szCs w:val="32"/>
        </w:rPr>
        <w:t>了生态</w:t>
      </w:r>
      <w:r>
        <w:rPr>
          <w:rFonts w:hint="eastAsia" w:ascii="宋体" w:hAnsi="宋体" w:cs="宋体"/>
          <w:color w:val="000000"/>
          <w:kern w:val="0"/>
          <w:sz w:val="32"/>
          <w:szCs w:val="32"/>
          <w:lang w:val="en-US" w:eastAsia="zh-CN"/>
        </w:rPr>
        <w:t>环境，贯彻了“绿水青山就是金山银山”等理念。</w:t>
      </w:r>
    </w:p>
    <w:p>
      <w:pPr>
        <w:ind w:firstLine="640" w:firstLineChars="200"/>
        <w:rPr>
          <w:rFonts w:ascii="仿宋_GB2312"/>
          <w:sz w:val="32"/>
          <w:szCs w:val="32"/>
        </w:rPr>
      </w:pPr>
      <w:r>
        <w:rPr>
          <w:rFonts w:hint="eastAsia" w:ascii="仿宋_GB2312"/>
          <w:sz w:val="32"/>
          <w:szCs w:val="32"/>
        </w:rPr>
        <w:t>3、满意度指标完成情况分析。。</w:t>
      </w:r>
      <w:r>
        <w:rPr>
          <w:rFonts w:hint="eastAsia"/>
          <w:sz w:val="32"/>
          <w:szCs w:val="32"/>
          <w:lang w:val="en-US" w:eastAsia="zh-CN"/>
        </w:rPr>
        <w:t>碧桂园湿地公园及矿冶大道绿化维护经费</w:t>
      </w:r>
      <w:r>
        <w:rPr>
          <w:rFonts w:hint="eastAsia"/>
          <w:sz w:val="32"/>
          <w:szCs w:val="32"/>
        </w:rPr>
        <w:t>项目</w:t>
      </w:r>
      <w:r>
        <w:rPr>
          <w:rFonts w:hint="eastAsia" w:ascii="宋体" w:hAnsi="宋体" w:cs="宋体"/>
          <w:color w:val="000000"/>
          <w:kern w:val="0"/>
          <w:sz w:val="32"/>
          <w:szCs w:val="32"/>
        </w:rPr>
        <w:t>有效恢复了生态环境，</w:t>
      </w:r>
      <w:r>
        <w:rPr>
          <w:rFonts w:hint="eastAsia" w:ascii="宋体" w:hAnsi="宋体" w:cs="宋体"/>
          <w:color w:val="000000"/>
          <w:kern w:val="0"/>
          <w:sz w:val="32"/>
          <w:szCs w:val="32"/>
          <w:lang w:val="en-US" w:eastAsia="zh-CN"/>
        </w:rPr>
        <w:t>为</w:t>
      </w:r>
      <w:r>
        <w:rPr>
          <w:rFonts w:hint="eastAsia" w:ascii="宋体" w:hAnsi="宋体" w:cs="宋体"/>
          <w:color w:val="000000"/>
          <w:kern w:val="0"/>
          <w:sz w:val="32"/>
          <w:szCs w:val="32"/>
        </w:rPr>
        <w:t>周边人民群众</w:t>
      </w:r>
      <w:r>
        <w:rPr>
          <w:rFonts w:hint="eastAsia" w:ascii="宋体" w:hAnsi="宋体" w:cs="宋体"/>
          <w:color w:val="000000"/>
          <w:kern w:val="0"/>
          <w:sz w:val="32"/>
          <w:szCs w:val="32"/>
          <w:lang w:val="en-US" w:eastAsia="zh-CN"/>
        </w:rPr>
        <w:t>提供了良好的生活环境</w:t>
      </w:r>
      <w:r>
        <w:rPr>
          <w:rFonts w:hint="eastAsia" w:ascii="宋体" w:hAnsi="宋体" w:cs="宋体"/>
          <w:color w:val="000000"/>
          <w:kern w:val="0"/>
          <w:sz w:val="32"/>
          <w:szCs w:val="32"/>
        </w:rPr>
        <w:t>，经办事处专班走访调查，</w:t>
      </w:r>
      <w:r>
        <w:rPr>
          <w:rFonts w:hint="eastAsia" w:ascii="仿宋_GB2312"/>
          <w:sz w:val="32"/>
          <w:szCs w:val="32"/>
        </w:rPr>
        <w:t>群众满意度高达</w:t>
      </w:r>
      <w:r>
        <w:rPr>
          <w:rFonts w:ascii="仿宋_GB2312"/>
          <w:sz w:val="32"/>
          <w:szCs w:val="32"/>
        </w:rPr>
        <w:t>9</w:t>
      </w:r>
      <w:r>
        <w:rPr>
          <w:rFonts w:hint="eastAsia" w:ascii="仿宋_GB2312"/>
          <w:sz w:val="32"/>
          <w:szCs w:val="32"/>
        </w:rPr>
        <w:t>5</w:t>
      </w:r>
      <w:r>
        <w:rPr>
          <w:rFonts w:ascii="仿宋_GB2312"/>
          <w:sz w:val="32"/>
          <w:szCs w:val="32"/>
        </w:rPr>
        <w:t>%</w:t>
      </w:r>
      <w:r>
        <w:rPr>
          <w:rFonts w:hint="eastAsia" w:ascii="仿宋_GB2312"/>
          <w:sz w:val="32"/>
          <w:szCs w:val="32"/>
        </w:rPr>
        <w:t>以上。</w:t>
      </w:r>
    </w:p>
    <w:p>
      <w:pPr>
        <w:spacing w:line="520" w:lineRule="exact"/>
        <w:ind w:firstLine="640" w:firstLineChars="200"/>
        <w:rPr>
          <w:rFonts w:ascii="黑体" w:hAnsi="黑体" w:eastAsia="黑体" w:cs="黑体"/>
          <w:bCs/>
          <w:sz w:val="32"/>
          <w:szCs w:val="32"/>
        </w:rPr>
      </w:pPr>
      <w:r>
        <w:rPr>
          <w:rFonts w:hint="eastAsia" w:ascii="黑体" w:hAnsi="黑体" w:eastAsia="黑体" w:cs="黑体"/>
          <w:bCs/>
          <w:sz w:val="32"/>
          <w:szCs w:val="32"/>
        </w:rPr>
        <w:t>五、绩效目标未完成原因和下一步改进措施</w:t>
      </w:r>
    </w:p>
    <w:p>
      <w:pPr>
        <w:spacing w:line="520" w:lineRule="exact"/>
        <w:ind w:firstLine="643" w:firstLineChars="200"/>
        <w:rPr>
          <w:rFonts w:ascii="楷体_GB2312" w:hAnsi="黑体" w:eastAsia="楷体_GB2312" w:cs="黑体"/>
          <w:b/>
          <w:bCs/>
          <w:sz w:val="32"/>
          <w:szCs w:val="32"/>
        </w:rPr>
      </w:pPr>
      <w:r>
        <w:rPr>
          <w:rFonts w:hint="eastAsia" w:ascii="楷体_GB2312" w:hAnsi="黑体" w:eastAsia="楷体_GB2312" w:cs="黑体"/>
          <w:b/>
          <w:bCs/>
          <w:sz w:val="32"/>
          <w:szCs w:val="32"/>
        </w:rPr>
        <w:t>（一）绩效目标未完成原因。</w:t>
      </w:r>
    </w:p>
    <w:p>
      <w:pPr>
        <w:spacing w:line="520" w:lineRule="exact"/>
        <w:ind w:firstLine="640" w:firstLineChars="200"/>
        <w:rPr>
          <w:rFonts w:hint="default" w:ascii="楷体_GB2312" w:hAnsi="黑体" w:eastAsia="楷体_GB2312" w:cs="黑体"/>
          <w:b/>
          <w:bCs/>
          <w:sz w:val="32"/>
          <w:szCs w:val="32"/>
          <w:lang w:val="en-US" w:eastAsia="zh-CN"/>
        </w:rPr>
      </w:pPr>
      <w:r>
        <w:rPr>
          <w:rFonts w:hint="eastAsia" w:ascii="宋体" w:hAnsi="宋体" w:cs="宋体"/>
          <w:color w:val="000000"/>
          <w:kern w:val="0"/>
          <w:sz w:val="32"/>
          <w:szCs w:val="32"/>
          <w:lang w:val="en-US" w:eastAsia="zh-CN"/>
        </w:rPr>
        <w:t>绩效目标已经完成。</w:t>
      </w:r>
    </w:p>
    <w:p>
      <w:pPr>
        <w:spacing w:line="520" w:lineRule="exact"/>
        <w:ind w:firstLine="643" w:firstLineChars="200"/>
        <w:rPr>
          <w:rFonts w:ascii="楷体_GB2312" w:hAnsi="黑体" w:eastAsia="楷体_GB2312" w:cs="黑体"/>
          <w:b/>
          <w:bCs/>
          <w:sz w:val="32"/>
          <w:szCs w:val="32"/>
        </w:rPr>
      </w:pPr>
      <w:r>
        <w:rPr>
          <w:rFonts w:hint="eastAsia" w:ascii="楷体_GB2312" w:hAnsi="黑体" w:eastAsia="楷体_GB2312" w:cs="黑体"/>
          <w:b/>
          <w:bCs/>
          <w:sz w:val="32"/>
          <w:szCs w:val="32"/>
        </w:rPr>
        <w:t>（二）下一步改进措施。</w:t>
      </w:r>
    </w:p>
    <w:p>
      <w:pPr>
        <w:spacing w:line="520" w:lineRule="exact"/>
        <w:ind w:firstLine="640" w:firstLineChars="200"/>
        <w:rPr>
          <w:rFonts w:hint="default" w:ascii="仿宋_GB2312" w:eastAsia="仿宋_GB2312"/>
          <w:sz w:val="32"/>
          <w:szCs w:val="32"/>
          <w:lang w:val="en-US" w:eastAsia="zh-CN"/>
        </w:rPr>
      </w:pPr>
      <w:r>
        <w:rPr>
          <w:rFonts w:hint="eastAsia" w:ascii="仿宋_GB2312" w:hAnsi="宋体"/>
          <w:sz w:val="32"/>
          <w:szCs w:val="32"/>
          <w:lang w:val="en-US" w:eastAsia="zh-CN"/>
        </w:rPr>
        <w:t>继续全力养护，打造绿色生态金湖。</w:t>
      </w:r>
    </w:p>
    <w:p>
      <w:pPr>
        <w:spacing w:line="520" w:lineRule="exact"/>
        <w:ind w:firstLine="640" w:firstLineChars="200"/>
        <w:rPr>
          <w:rFonts w:ascii="黑体" w:hAnsi="黑体" w:eastAsia="黑体" w:cs="黑体"/>
          <w:bCs/>
          <w:sz w:val="32"/>
          <w:szCs w:val="32"/>
        </w:rPr>
      </w:pPr>
      <w:r>
        <w:rPr>
          <w:rFonts w:hint="eastAsia" w:ascii="黑体" w:hAnsi="黑体" w:eastAsia="黑体" w:cs="黑体"/>
          <w:bCs/>
          <w:sz w:val="32"/>
          <w:szCs w:val="32"/>
        </w:rPr>
        <w:t>六、绩效自评结果拟应用和公开情况</w:t>
      </w:r>
    </w:p>
    <w:p>
      <w:pPr>
        <w:spacing w:line="520" w:lineRule="exact"/>
        <w:ind w:firstLine="643" w:firstLineChars="200"/>
        <w:rPr>
          <w:rFonts w:ascii="楷体_GB2312" w:hAnsi="黑体" w:eastAsia="楷体_GB2312" w:cs="黑体"/>
          <w:b/>
          <w:bCs/>
          <w:sz w:val="32"/>
          <w:szCs w:val="32"/>
        </w:rPr>
      </w:pPr>
      <w:r>
        <w:rPr>
          <w:rFonts w:hint="eastAsia" w:ascii="楷体_GB2312" w:hAnsi="黑体" w:eastAsia="楷体_GB2312" w:cs="黑体"/>
          <w:b/>
          <w:bCs/>
          <w:sz w:val="32"/>
          <w:szCs w:val="32"/>
        </w:rPr>
        <w:t>（一）绩效自评结果拟应用情况。</w:t>
      </w:r>
    </w:p>
    <w:p>
      <w:pPr>
        <w:numPr>
          <w:ilvl w:val="0"/>
          <w:numId w:val="0"/>
        </w:numPr>
        <w:spacing w:line="520" w:lineRule="exact"/>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通过项目自评，使我们知晓本项目实施的作用、产生的经济效益、社会效益，同时也看到了我们项目实施过程中的不足和今后要改进的地方，为我们以后更好地实施国家财政补贴资金项目积累了经验。</w:t>
      </w:r>
    </w:p>
    <w:p>
      <w:pPr>
        <w:spacing w:line="520" w:lineRule="exact"/>
        <w:ind w:firstLine="643" w:firstLineChars="200"/>
        <w:rPr>
          <w:rFonts w:ascii="楷体_GB2312" w:hAnsi="黑体" w:eastAsia="楷体_GB2312" w:cs="黑体"/>
          <w:b/>
          <w:bCs/>
          <w:sz w:val="32"/>
          <w:szCs w:val="32"/>
        </w:rPr>
      </w:pPr>
      <w:r>
        <w:rPr>
          <w:rFonts w:hint="eastAsia" w:ascii="楷体_GB2312" w:hAnsi="黑体" w:eastAsia="楷体_GB2312" w:cs="黑体"/>
          <w:b/>
          <w:bCs/>
          <w:sz w:val="32"/>
          <w:szCs w:val="32"/>
        </w:rPr>
        <w:t>（二）绩效自评结果拟公开情况。</w:t>
      </w:r>
    </w:p>
    <w:p>
      <w:pPr>
        <w:numPr>
          <w:ilvl w:val="0"/>
          <w:numId w:val="0"/>
        </w:numPr>
        <w:spacing w:line="520" w:lineRule="exact"/>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碧桂园湿地公园及矿冶大道绿化维护经费项目绩效自评结果已上报金湖街办分管领导，同意自评结果，没有异议。</w:t>
      </w:r>
    </w:p>
    <w:p>
      <w:pPr>
        <w:spacing w:line="520" w:lineRule="exact"/>
        <w:ind w:firstLine="640" w:firstLineChars="200"/>
        <w:rPr>
          <w:rFonts w:ascii="黑体" w:hAnsi="黑体" w:eastAsia="黑体" w:cs="黑体"/>
          <w:bCs/>
          <w:sz w:val="32"/>
          <w:szCs w:val="32"/>
        </w:rPr>
      </w:pPr>
      <w:r>
        <w:rPr>
          <w:rFonts w:hint="eastAsia" w:ascii="黑体" w:hAnsi="黑体" w:eastAsia="黑体" w:cs="黑体"/>
          <w:bCs/>
          <w:sz w:val="32"/>
          <w:szCs w:val="32"/>
        </w:rPr>
        <w:t>七、绩效自评工作的经验、问题和建议</w:t>
      </w:r>
    </w:p>
    <w:p>
      <w:pPr>
        <w:spacing w:line="520" w:lineRule="exact"/>
        <w:ind w:firstLine="643" w:firstLineChars="200"/>
        <w:rPr>
          <w:rFonts w:ascii="楷体_GB2312" w:hAnsi="黑体" w:eastAsia="楷体_GB2312" w:cs="黑体"/>
          <w:b/>
          <w:bCs/>
          <w:sz w:val="32"/>
          <w:szCs w:val="32"/>
        </w:rPr>
      </w:pPr>
      <w:r>
        <w:rPr>
          <w:rFonts w:hint="eastAsia" w:ascii="楷体_GB2312" w:hAnsi="黑体" w:eastAsia="楷体_GB2312" w:cs="黑体"/>
          <w:b/>
          <w:bCs/>
          <w:sz w:val="32"/>
          <w:szCs w:val="32"/>
        </w:rPr>
        <w:t>（一）绩效自评工作的经验。</w:t>
      </w:r>
    </w:p>
    <w:p>
      <w:pPr>
        <w:numPr>
          <w:ilvl w:val="0"/>
          <w:numId w:val="0"/>
        </w:numPr>
        <w:spacing w:line="520" w:lineRule="exact"/>
        <w:ind w:firstLine="640" w:firstLineChars="200"/>
        <w:rPr>
          <w:rFonts w:ascii="仿宋_GB2312"/>
          <w:sz w:val="32"/>
          <w:szCs w:val="32"/>
        </w:rPr>
      </w:pPr>
      <w:r>
        <w:rPr>
          <w:rFonts w:hint="eastAsia" w:ascii="仿宋" w:hAnsi="仿宋" w:eastAsia="仿宋" w:cs="仿宋"/>
          <w:b w:val="0"/>
          <w:bCs/>
          <w:sz w:val="32"/>
          <w:szCs w:val="32"/>
          <w:lang w:val="en-US" w:eastAsia="zh-CN"/>
        </w:rPr>
        <w:t>通过项目自评，使我们知晓本项目实施的作用、产生的经济效益、社会效益，同时也看到了我们项目实施过程中的不足和今后要改进的地方，为我们以后更好地实施国家财政补贴资金项目积累了经验。</w:t>
      </w:r>
    </w:p>
    <w:p>
      <w:pPr>
        <w:spacing w:line="520" w:lineRule="exact"/>
        <w:ind w:firstLine="643" w:firstLineChars="200"/>
        <w:rPr>
          <w:rFonts w:ascii="楷体_GB2312" w:hAnsi="黑体" w:eastAsia="楷体_GB2312" w:cs="黑体"/>
          <w:b/>
          <w:bCs/>
          <w:sz w:val="32"/>
          <w:szCs w:val="32"/>
        </w:rPr>
      </w:pPr>
      <w:r>
        <w:rPr>
          <w:rFonts w:hint="eastAsia" w:ascii="楷体_GB2312" w:hAnsi="黑体" w:eastAsia="楷体_GB2312" w:cs="黑体"/>
          <w:b/>
          <w:bCs/>
          <w:sz w:val="32"/>
          <w:szCs w:val="32"/>
        </w:rPr>
        <w:t>（二）绩效自评存在的问题。</w:t>
      </w:r>
    </w:p>
    <w:p>
      <w:pPr>
        <w:numPr>
          <w:ilvl w:val="0"/>
          <w:numId w:val="0"/>
        </w:numPr>
        <w:spacing w:line="520" w:lineRule="exact"/>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绩效指标设置的精准性、合理性有待进一步改善</w:t>
      </w:r>
    </w:p>
    <w:p>
      <w:pPr>
        <w:spacing w:line="520" w:lineRule="exact"/>
        <w:ind w:firstLine="643" w:firstLineChars="200"/>
        <w:rPr>
          <w:rFonts w:ascii="楷体_GB2312" w:hAnsi="黑体" w:eastAsia="楷体_GB2312" w:cs="黑体"/>
          <w:b/>
          <w:bCs/>
          <w:sz w:val="32"/>
          <w:szCs w:val="32"/>
        </w:rPr>
      </w:pPr>
      <w:r>
        <w:rPr>
          <w:rFonts w:hint="eastAsia" w:ascii="楷体_GB2312" w:hAnsi="黑体" w:eastAsia="楷体_GB2312" w:cs="黑体"/>
          <w:b/>
          <w:bCs/>
          <w:sz w:val="32"/>
          <w:szCs w:val="32"/>
        </w:rPr>
        <w:t>（三）解决问题的建议。</w:t>
      </w:r>
    </w:p>
    <w:p>
      <w:pPr>
        <w:spacing w:line="520" w:lineRule="exact"/>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加强绩效管理,提高绩效管理水平。一是分管领导亲自主持召开专题会议,对预算绩效管理工作进行安排部署。二是聘请专业人员组织开展预算绩效管理相关培训,强化预算绩效管理意识,提高人员绩效管理水平。三是对项目绩效目标和指标设置把关,加强绩效目标和指标设置的科学性、合理性和规范性。</w:t>
      </w:r>
    </w:p>
    <w:p>
      <w:pPr>
        <w:spacing w:line="52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八、其他需说明的问题</w:t>
      </w:r>
    </w:p>
    <w:p>
      <w:pPr>
        <w:spacing w:line="520" w:lineRule="exact"/>
        <w:ind w:firstLine="640" w:firstLineChars="200"/>
        <w:rPr>
          <w:rFonts w:hint="eastAsia" w:ascii="仿宋_GB2312" w:hAnsi="黑体" w:eastAsia="仿宋_GB2312" w:cs="黑体"/>
          <w:bCs/>
          <w:sz w:val="32"/>
          <w:szCs w:val="32"/>
          <w:lang w:val="en-US" w:eastAsia="zh-CN"/>
        </w:rPr>
      </w:pPr>
      <w:r>
        <w:rPr>
          <w:rFonts w:hint="eastAsia" w:ascii="仿宋_GB2312" w:hAnsi="黑体" w:cs="黑体"/>
          <w:bCs/>
          <w:sz w:val="32"/>
          <w:szCs w:val="32"/>
          <w:lang w:val="en-US" w:eastAsia="zh-CN"/>
        </w:rPr>
        <w:t>无</w:t>
      </w:r>
    </w:p>
    <w:p>
      <w:pPr>
        <w:spacing w:line="520" w:lineRule="exact"/>
        <w:ind w:firstLine="640" w:firstLineChars="200"/>
        <w:rPr>
          <w:rFonts w:ascii="仿宋_GB2312" w:hAnsi="黑体" w:cs="黑体"/>
          <w:bCs/>
          <w:sz w:val="32"/>
          <w:szCs w:val="32"/>
        </w:rPr>
      </w:pPr>
    </w:p>
    <w:p>
      <w:pPr>
        <w:spacing w:line="520" w:lineRule="exact"/>
        <w:ind w:firstLine="4160" w:firstLineChars="1300"/>
        <w:rPr>
          <w:rFonts w:hint="eastAsia" w:ascii="仿宋_GB2312" w:hAnsi="黑体" w:eastAsia="仿宋_GB2312" w:cs="黑体"/>
          <w:bCs/>
          <w:sz w:val="32"/>
          <w:szCs w:val="32"/>
          <w:lang w:eastAsia="zh-CN"/>
        </w:rPr>
      </w:pPr>
      <w:r>
        <w:rPr>
          <w:rFonts w:hint="eastAsia" w:ascii="仿宋_GB2312" w:hAnsi="黑体" w:cs="黑体"/>
          <w:bCs/>
          <w:sz w:val="32"/>
          <w:szCs w:val="32"/>
        </w:rPr>
        <w:t>大冶市</w:t>
      </w:r>
      <w:r>
        <w:rPr>
          <w:rFonts w:hint="eastAsia" w:ascii="仿宋_GB2312" w:hAnsi="黑体" w:cs="黑体"/>
          <w:bCs/>
          <w:sz w:val="32"/>
          <w:szCs w:val="32"/>
          <w:lang w:val="en-US" w:eastAsia="zh-CN"/>
        </w:rPr>
        <w:t>金湖街道办事处</w:t>
      </w:r>
    </w:p>
    <w:p>
      <w:pPr>
        <w:spacing w:line="520" w:lineRule="exact"/>
        <w:ind w:firstLine="4640" w:firstLineChars="1450"/>
        <w:rPr>
          <w:rFonts w:ascii="仿宋_GB2312" w:hAnsi="黑体" w:cs="黑体"/>
          <w:bCs/>
          <w:sz w:val="32"/>
          <w:szCs w:val="32"/>
        </w:rPr>
      </w:pPr>
      <w:r>
        <w:rPr>
          <w:rFonts w:hint="eastAsia" w:ascii="仿宋_GB2312" w:hAnsi="黑体" w:cs="黑体"/>
          <w:bCs/>
          <w:sz w:val="32"/>
          <w:szCs w:val="32"/>
        </w:rPr>
        <w:t>202</w:t>
      </w:r>
      <w:r>
        <w:rPr>
          <w:rFonts w:hint="eastAsia" w:ascii="仿宋_GB2312" w:hAnsi="黑体" w:cs="黑体"/>
          <w:bCs/>
          <w:sz w:val="32"/>
          <w:szCs w:val="32"/>
          <w:lang w:val="en-US" w:eastAsia="zh-CN"/>
        </w:rPr>
        <w:t>3</w:t>
      </w:r>
      <w:r>
        <w:rPr>
          <w:rFonts w:hint="eastAsia" w:ascii="仿宋_GB2312" w:hAnsi="黑体" w:cs="黑体"/>
          <w:bCs/>
          <w:sz w:val="32"/>
          <w:szCs w:val="32"/>
        </w:rPr>
        <w:t>年</w:t>
      </w:r>
      <w:r>
        <w:rPr>
          <w:rFonts w:hint="eastAsia" w:ascii="仿宋_GB2312" w:hAnsi="黑体" w:cs="黑体"/>
          <w:bCs/>
          <w:sz w:val="32"/>
          <w:szCs w:val="32"/>
          <w:lang w:val="en-US" w:eastAsia="zh-CN"/>
        </w:rPr>
        <w:t>7</w:t>
      </w:r>
      <w:r>
        <w:rPr>
          <w:rFonts w:hint="eastAsia" w:ascii="仿宋_GB2312" w:hAnsi="黑体" w:cs="黑体"/>
          <w:bCs/>
          <w:sz w:val="32"/>
          <w:szCs w:val="32"/>
        </w:rPr>
        <w:t>月</w:t>
      </w:r>
      <w:r>
        <w:rPr>
          <w:rFonts w:hint="eastAsia" w:ascii="仿宋_GB2312" w:hAnsi="黑体" w:cs="黑体"/>
          <w:bCs/>
          <w:sz w:val="32"/>
          <w:szCs w:val="32"/>
          <w:lang w:val="en-US" w:eastAsia="zh-CN"/>
        </w:rPr>
        <w:t>18</w:t>
      </w:r>
      <w:r>
        <w:rPr>
          <w:rFonts w:hint="eastAsia" w:ascii="仿宋_GB2312" w:hAnsi="黑体" w:cs="黑体"/>
          <w:bCs/>
          <w:sz w:val="32"/>
          <w:szCs w:val="32"/>
        </w:rPr>
        <w:t>日</w:t>
      </w:r>
    </w:p>
    <w:p>
      <w:pPr>
        <w:spacing w:line="520" w:lineRule="exact"/>
        <w:ind w:firstLine="3360" w:firstLineChars="1050"/>
        <w:rPr>
          <w:rFonts w:ascii="仿宋_GB2312" w:hAnsi="黑体" w:cs="黑体"/>
          <w:bCs/>
          <w:sz w:val="32"/>
          <w:szCs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RhZmNlMmQ2MjAyMmM4N2Y2MDQ0N2E3ZGRjZWNlYTQifQ=="/>
  </w:docVars>
  <w:rsids>
    <w:rsidRoot w:val="003227C6"/>
    <w:rsid w:val="000716F4"/>
    <w:rsid w:val="000B3313"/>
    <w:rsid w:val="00131E66"/>
    <w:rsid w:val="00153394"/>
    <w:rsid w:val="001F3335"/>
    <w:rsid w:val="00275F74"/>
    <w:rsid w:val="00296FAA"/>
    <w:rsid w:val="003227C6"/>
    <w:rsid w:val="003C7F3D"/>
    <w:rsid w:val="003E2D58"/>
    <w:rsid w:val="00484489"/>
    <w:rsid w:val="004E545B"/>
    <w:rsid w:val="005262E0"/>
    <w:rsid w:val="005D1EC5"/>
    <w:rsid w:val="006E2DAD"/>
    <w:rsid w:val="007C4527"/>
    <w:rsid w:val="007E41ED"/>
    <w:rsid w:val="00805206"/>
    <w:rsid w:val="00895090"/>
    <w:rsid w:val="008B4299"/>
    <w:rsid w:val="008F57B5"/>
    <w:rsid w:val="009369AD"/>
    <w:rsid w:val="0095376E"/>
    <w:rsid w:val="009701A0"/>
    <w:rsid w:val="00970DCD"/>
    <w:rsid w:val="00973B09"/>
    <w:rsid w:val="009D404A"/>
    <w:rsid w:val="00A22662"/>
    <w:rsid w:val="00A62D7B"/>
    <w:rsid w:val="00A66C8E"/>
    <w:rsid w:val="00A6725B"/>
    <w:rsid w:val="00AB4ED7"/>
    <w:rsid w:val="00AD645B"/>
    <w:rsid w:val="00B20A62"/>
    <w:rsid w:val="00B23631"/>
    <w:rsid w:val="00B6233A"/>
    <w:rsid w:val="00B934F0"/>
    <w:rsid w:val="00C57284"/>
    <w:rsid w:val="00CA746C"/>
    <w:rsid w:val="00CB270B"/>
    <w:rsid w:val="00CF6FF5"/>
    <w:rsid w:val="00D10062"/>
    <w:rsid w:val="00D57A51"/>
    <w:rsid w:val="00F05731"/>
    <w:rsid w:val="00F07833"/>
    <w:rsid w:val="00F41E2D"/>
    <w:rsid w:val="00FB1A00"/>
    <w:rsid w:val="00FC0EB9"/>
    <w:rsid w:val="1A5D4DB6"/>
    <w:rsid w:val="3DAB4E56"/>
    <w:rsid w:val="5256123E"/>
    <w:rsid w:val="56673852"/>
    <w:rsid w:val="5AE84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584</Words>
  <Characters>605</Characters>
  <Lines>4</Lines>
  <Paragraphs>1</Paragraphs>
  <TotalTime>0</TotalTime>
  <ScaleCrop>false</ScaleCrop>
  <LinksUpToDate>false</LinksUpToDate>
  <CharactersWithSpaces>609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2018-03-23T09:11:00Z</dcterms:created>
  <dc:creator>冯妍妍/预算绩效管理处（行资处）/湖北省财政厅</dc:creator>
  <cp:lastModifiedBy>渡鸦12345</cp:lastModifiedBy>
  <cp:lastPrinted>2018-03-29T08:09:00Z</cp:lastPrinted>
  <dcterms:modified xsi:type="dcterms:W3CDTF">2023-07-25T09:03:45Z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6ACEFDA7034B45B48A55FD3571068E9D_12</vt:lpwstr>
  </property>
</Properties>
</file>