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600" w:lineRule="exact"/>
        <w:jc w:val="center"/>
        <w:textAlignment w:val="auto"/>
        <w:rPr>
          <w:rFonts w:ascii="方正大标宋简体" w:hAnsi="方正大标宋简体" w:eastAsia="方正大标宋简体" w:cs="Times New Roman"/>
          <w:kern w:val="2"/>
          <w:sz w:val="44"/>
          <w:szCs w:val="44"/>
        </w:rPr>
      </w:pPr>
      <w:r>
        <w:rPr>
          <w:rFonts w:hint="eastAsia" w:ascii="方正大标宋简体" w:hAnsi="方正大标宋简体" w:eastAsia="方正大标宋简体" w:cs="方正小标宋_GBK"/>
          <w:kern w:val="2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小标宋_GBK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小标宋_GBK"/>
          <w:kern w:val="2"/>
          <w:sz w:val="44"/>
          <w:szCs w:val="44"/>
        </w:rPr>
        <w:t>年政府性基金预算编制说明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</w:t>
      </w:r>
      <w:r>
        <w:rPr>
          <w:rFonts w:ascii="仿宋_GB2312" w:hAnsi="仿宋" w:eastAsia="仿宋_GB2312" w:cs="仿宋_GB2312"/>
          <w:sz w:val="32"/>
          <w:szCs w:val="32"/>
        </w:rPr>
        <w:t>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政府性基金预算收入</w:t>
      </w:r>
      <w:r>
        <w:rPr>
          <w:rFonts w:hint="eastAsia" w:ascii="仿宋_GB2312" w:hAnsi="仿宋" w:eastAsia="仿宋_GB2312" w:cs="仿宋_GB2312"/>
          <w:sz w:val="32"/>
          <w:szCs w:val="32"/>
        </w:rPr>
        <w:t>安排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561,884万</w:t>
      </w:r>
      <w:r>
        <w:rPr>
          <w:rFonts w:hint="eastAsia" w:ascii="仿宋_GB2312" w:hAnsi="仿宋" w:eastAsia="仿宋_GB2312" w:cs="仿宋_GB2312"/>
          <w:sz w:val="32"/>
          <w:szCs w:val="32"/>
        </w:rPr>
        <w:t>元，分别是：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1.国有土地收益基金收入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16,300万</w:t>
      </w:r>
      <w:r>
        <w:rPr>
          <w:rFonts w:hint="eastAsia" w:ascii="仿宋_GB2312" w:hAnsi="仿宋" w:eastAsia="仿宋_GB2312" w:cs="仿宋_GB2312"/>
          <w:sz w:val="32"/>
          <w:szCs w:val="32"/>
        </w:rPr>
        <w:t>元，从国有土地使用权出让收入中计提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2.农业土地开发资金收入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2,250万</w:t>
      </w:r>
      <w:r>
        <w:rPr>
          <w:rFonts w:hint="eastAsia" w:ascii="仿宋_GB2312" w:hAnsi="仿宋" w:eastAsia="仿宋_GB2312" w:cs="仿宋_GB2312"/>
          <w:sz w:val="32"/>
          <w:szCs w:val="32"/>
        </w:rPr>
        <w:t>元，从国有土地使用权出让收入中计提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3.国有土地使用权出让收入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514,100万</w:t>
      </w:r>
      <w:r>
        <w:rPr>
          <w:rFonts w:hint="eastAsia" w:ascii="仿宋_GB2312" w:hAnsi="仿宋" w:eastAsia="仿宋_GB2312" w:cs="仿宋_GB2312"/>
          <w:sz w:val="32"/>
          <w:szCs w:val="32"/>
        </w:rPr>
        <w:t>元。国有土地使用权出让毛收入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543,650万</w:t>
      </w:r>
      <w:r>
        <w:rPr>
          <w:rFonts w:hint="eastAsia" w:ascii="仿宋_GB2312" w:hAnsi="仿宋" w:eastAsia="仿宋_GB2312" w:cs="仿宋_GB2312"/>
          <w:sz w:val="32"/>
          <w:szCs w:val="32"/>
        </w:rPr>
        <w:t>元，其中商住项目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139,031万</w:t>
      </w:r>
      <w:r>
        <w:rPr>
          <w:rFonts w:hint="eastAsia" w:ascii="仿宋_GB2312" w:hAnsi="仿宋" w:eastAsia="仿宋_GB2312" w:cs="仿宋_GB2312"/>
          <w:sz w:val="32"/>
          <w:szCs w:val="32"/>
        </w:rPr>
        <w:t>元、工业项目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26,000万</w:t>
      </w:r>
      <w:r>
        <w:rPr>
          <w:rFonts w:hint="eastAsia" w:ascii="仿宋_GB2312" w:hAnsi="仿宋" w:eastAsia="仿宋_GB2312" w:cs="仿宋_GB2312"/>
          <w:sz w:val="32"/>
          <w:szCs w:val="32"/>
        </w:rPr>
        <w:t>元、平台项目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351,334万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、历年清欠收入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26,285万元、其它项目收入1,000万元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剔除缴纳的新增建设用地有偿使用费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10,000万</w:t>
      </w:r>
      <w:r>
        <w:rPr>
          <w:rFonts w:hint="eastAsia" w:ascii="仿宋_GB2312" w:hAnsi="仿宋" w:eastAsia="仿宋_GB2312" w:cs="仿宋_GB2312"/>
          <w:sz w:val="32"/>
          <w:szCs w:val="32"/>
        </w:rPr>
        <w:t>元、从土地出让收入中计提的资金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19,550万</w:t>
      </w:r>
      <w:r>
        <w:rPr>
          <w:rFonts w:hint="eastAsia" w:ascii="仿宋_GB2312" w:hAnsi="仿宋" w:eastAsia="仿宋_GB2312" w:cs="仿宋_GB2312"/>
          <w:sz w:val="32"/>
          <w:szCs w:val="32"/>
        </w:rPr>
        <w:t>元（含国有土地收益基金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16,300万</w:t>
      </w:r>
      <w:r>
        <w:rPr>
          <w:rFonts w:hint="eastAsia" w:ascii="仿宋_GB2312" w:hAnsi="仿宋" w:eastAsia="仿宋_GB2312" w:cs="仿宋_GB2312"/>
          <w:sz w:val="32"/>
          <w:szCs w:val="32"/>
        </w:rPr>
        <w:t>元、农业土地开发资金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2,250万</w:t>
      </w:r>
      <w:r>
        <w:rPr>
          <w:rFonts w:hint="eastAsia" w:ascii="仿宋_GB2312" w:hAnsi="仿宋" w:eastAsia="仿宋_GB2312" w:cs="仿宋_GB2312"/>
          <w:sz w:val="32"/>
          <w:szCs w:val="32"/>
        </w:rPr>
        <w:t>元、廉租房保障资金收入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1,000万</w:t>
      </w:r>
      <w:r>
        <w:rPr>
          <w:rFonts w:hint="eastAsia" w:ascii="仿宋_GB2312" w:hAnsi="仿宋" w:eastAsia="仿宋_GB2312" w:cs="仿宋_GB2312"/>
          <w:sz w:val="32"/>
          <w:szCs w:val="32"/>
        </w:rPr>
        <w:t>元）后，纳入国有土地使用权出让收入科目核算金额为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514,100万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（详见表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1及表5）。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4.城市基础设施配套费收入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3,500万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5.污水处理费收入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4,760万</w:t>
      </w:r>
      <w:r>
        <w:rPr>
          <w:rFonts w:hint="eastAsia" w:ascii="仿宋_GB2312" w:hAnsi="仿宋" w:eastAsia="仿宋_GB2312" w:cs="仿宋_GB2312"/>
          <w:sz w:val="32"/>
          <w:szCs w:val="32"/>
        </w:rPr>
        <w:t>元，其中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大冶市污水处理费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3,900万</w:t>
      </w:r>
      <w:r>
        <w:rPr>
          <w:rFonts w:hint="eastAsia" w:ascii="仿宋_GB2312" w:hAnsi="仿宋" w:eastAsia="仿宋_GB2312" w:cs="仿宋_GB2312"/>
          <w:sz w:val="32"/>
          <w:szCs w:val="32"/>
        </w:rPr>
        <w:t>元，铁山和下陆污水处理费</w:t>
      </w:r>
      <w:r>
        <w:rPr>
          <w:rFonts w:ascii="仿宋_GB2312" w:hAnsi="仿宋" w:eastAsia="仿宋_GB2312" w:cs="仿宋_GB2312"/>
          <w:sz w:val="32"/>
          <w:szCs w:val="32"/>
        </w:rPr>
        <w:t>860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专项债务对应项目专项收入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20,974万</w:t>
      </w:r>
      <w:r>
        <w:rPr>
          <w:rFonts w:hint="eastAsia" w:ascii="仿宋_GB2312" w:hAnsi="仿宋" w:eastAsia="仿宋_GB2312"/>
          <w:sz w:val="32"/>
          <w:szCs w:val="32"/>
        </w:rPr>
        <w:t>元，指应由有关单位偿还的到期专项债券利息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和专项债券发行费用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政府性基金预算支出</w:t>
      </w:r>
      <w:r>
        <w:rPr>
          <w:rFonts w:hint="eastAsia" w:ascii="仿宋_GB2312" w:hAnsi="仿宋" w:eastAsia="仿宋_GB2312" w:cs="仿宋_GB2312"/>
          <w:sz w:val="32"/>
          <w:szCs w:val="32"/>
        </w:rPr>
        <w:t>安排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548,540万</w:t>
      </w:r>
      <w:r>
        <w:rPr>
          <w:rFonts w:hint="eastAsia" w:ascii="仿宋_GB2312" w:hAnsi="仿宋" w:eastAsia="仿宋_GB2312" w:cs="仿宋_GB2312"/>
          <w:sz w:val="32"/>
          <w:szCs w:val="32"/>
        </w:rPr>
        <w:t>元，分别是：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.社会保障和就业支出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.城乡社区支出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436,362万</w:t>
      </w:r>
      <w:r>
        <w:rPr>
          <w:rFonts w:hint="eastAsia" w:ascii="仿宋_GB2312" w:hAnsi="仿宋" w:eastAsia="仿宋_GB2312" w:cs="仿宋_GB2312"/>
          <w:sz w:val="32"/>
          <w:szCs w:val="32"/>
        </w:rPr>
        <w:t>元，其中：国有土地使用权出让收入安排的支出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409,552万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，主要用于征地拆迁补偿支出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56,415万元，城市建设支出220,837万元，农村基础设施建设支出30,000万元，土地出让业务支出500万元，棚户区改造支出1,000万元，其他国有土地使用权出让收入安排的支出100,800万元（含化解存量政府债务支出96,800万元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国有土地收益基金安排的支出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16,300万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农业土地收益基金安排的支出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2,250万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城市基础设施配套费收入安排的支出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3,500万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污水处理费收入安排的支出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4,760万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.农林水支出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825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.其他支出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84,216万</w:t>
      </w:r>
      <w:r>
        <w:rPr>
          <w:rFonts w:hint="eastAsia" w:ascii="仿宋_GB2312" w:hAnsi="仿宋" w:eastAsia="仿宋_GB2312" w:cs="仿宋_GB2312"/>
          <w:sz w:val="32"/>
          <w:szCs w:val="32"/>
        </w:rPr>
        <w:t>元，其中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：其他政府性基金及对应专项债务收入安排的支出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82,216万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，彩票公益金安排的支出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2,000万元。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6.债务付息支出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26,337万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7.债务发行费用支出</w:t>
      </w:r>
      <w:r>
        <w:rPr>
          <w:rFonts w:ascii="仿宋_GB2312" w:hAnsi="仿宋" w:eastAsia="仿宋_GB2312"/>
          <w:sz w:val="32"/>
          <w:szCs w:val="32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政府性基金预算收支平衡情况：收入方总计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721,788元</w:t>
      </w:r>
      <w:r>
        <w:rPr>
          <w:rFonts w:hint="eastAsia" w:ascii="仿宋_GB2312" w:hAnsi="仿宋" w:eastAsia="仿宋_GB2312"/>
          <w:sz w:val="32"/>
          <w:szCs w:val="32"/>
        </w:rPr>
        <w:t>，其中：政府性基金收入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561,884万</w:t>
      </w:r>
      <w:r>
        <w:rPr>
          <w:rFonts w:hint="eastAsia" w:ascii="仿宋_GB2312" w:hAnsi="仿宋" w:eastAsia="仿宋_GB2312"/>
          <w:sz w:val="32"/>
          <w:szCs w:val="32"/>
        </w:rPr>
        <w:t>元，上年结余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92,080万</w:t>
      </w:r>
      <w:r>
        <w:rPr>
          <w:rFonts w:hint="eastAsia" w:ascii="仿宋_GB2312" w:hAnsi="仿宋" w:eastAsia="仿宋_GB2312"/>
          <w:sz w:val="32"/>
          <w:szCs w:val="32"/>
        </w:rPr>
        <w:t>元，专项债券转贷收入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67,272万</w:t>
      </w:r>
      <w:r>
        <w:rPr>
          <w:rFonts w:hint="eastAsia" w:ascii="仿宋_GB2312" w:hAnsi="仿宋" w:eastAsia="仿宋_GB2312"/>
          <w:sz w:val="32"/>
          <w:szCs w:val="32"/>
        </w:rPr>
        <w:t>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政府性基金</w:t>
      </w:r>
      <w:r>
        <w:rPr>
          <w:rFonts w:hint="eastAsia" w:ascii="仿宋_GB2312" w:hAnsi="仿宋" w:eastAsia="仿宋_GB2312"/>
          <w:sz w:val="32"/>
          <w:szCs w:val="32"/>
        </w:rPr>
        <w:t>转移收入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552</w:t>
      </w:r>
      <w:r>
        <w:rPr>
          <w:rFonts w:hint="eastAsia" w:ascii="仿宋_GB2312" w:hAnsi="仿宋" w:eastAsia="仿宋_GB2312"/>
          <w:sz w:val="32"/>
          <w:szCs w:val="32"/>
        </w:rPr>
        <w:t>万元；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支出方总计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721,788万</w:t>
      </w:r>
      <w:r>
        <w:rPr>
          <w:rFonts w:hint="eastAsia" w:ascii="仿宋_GB2312" w:hAnsi="仿宋" w:eastAsia="仿宋_GB2312"/>
          <w:sz w:val="32"/>
          <w:szCs w:val="32"/>
        </w:rPr>
        <w:t>元，其中：政府性基金支出</w:t>
      </w:r>
      <w:bookmarkStart w:id="0" w:name="_GoBack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548,540</w:t>
      </w:r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元，调出资金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96,391万</w:t>
      </w:r>
      <w:r>
        <w:rPr>
          <w:rFonts w:hint="eastAsia" w:ascii="仿宋_GB2312" w:hAnsi="仿宋" w:eastAsia="仿宋_GB2312"/>
          <w:sz w:val="32"/>
          <w:szCs w:val="32"/>
        </w:rPr>
        <w:t>元，专项债券还本支出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67,272万</w:t>
      </w:r>
      <w:r>
        <w:rPr>
          <w:rFonts w:hint="eastAsia" w:ascii="仿宋_GB2312" w:hAnsi="仿宋" w:eastAsia="仿宋_GB2312"/>
          <w:sz w:val="32"/>
          <w:szCs w:val="32"/>
        </w:rPr>
        <w:t>元，年终结余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9,585万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/>
    <w:sectPr>
      <w:headerReference r:id="rId3" w:type="default"/>
      <w:pgSz w:w="11906" w:h="16838"/>
      <w:pgMar w:top="1474" w:right="1418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3F7710D-F5BA-48FD-836B-DE58405860E0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235E3D4-DADE-4007-978D-E36710E2D8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E89DA1-FC3B-4FD4-A3B5-185D19A80E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26EC396-DEE0-4945-AF05-358BD57EFA1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jNhMTlmYzRhMDIzZTVmYmM1YjgwOWI0YTA0YjAifQ=="/>
    <w:docVar w:name="KSO_WPS_MARK_KEY" w:val="fec40f2b-0a4b-48f5-bd0d-0594eb1913bc"/>
  </w:docVars>
  <w:rsids>
    <w:rsidRoot w:val="00000000"/>
    <w:rsid w:val="1189698A"/>
    <w:rsid w:val="46C47162"/>
    <w:rsid w:val="5C3E3A13"/>
    <w:rsid w:val="736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1060</Characters>
  <Lines>0</Lines>
  <Paragraphs>0</Paragraphs>
  <TotalTime>10</TotalTime>
  <ScaleCrop>false</ScaleCrop>
  <LinksUpToDate>false</LinksUpToDate>
  <CharactersWithSpaces>1060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2023-12-22T09:11:00Z</dcterms:created>
  <dc:creator>Administrator</dc:creator>
  <cp:lastModifiedBy>无痕</cp:lastModifiedBy>
  <dcterms:modified xsi:type="dcterms:W3CDTF">2024-01-04T07:18:50Z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3AF054ACAFC54E739E63AC807FD057AA_12</vt:lpwstr>
  </property>
</Properties>
</file>