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05495">
      <w:pPr>
        <w:pStyle w:val="6"/>
        <w:keepNext w:val="0"/>
        <w:keepLines w:val="0"/>
        <w:pageBreakBefore w:val="0"/>
        <w:widowControl w:val="0"/>
        <w:kinsoku/>
        <w:wordWrap/>
        <w:overflowPunct/>
        <w:topLinePunct w:val="0"/>
        <w:autoSpaceDE/>
        <w:autoSpaceDN/>
        <w:bidi w:val="0"/>
        <w:adjustRightInd/>
        <w:snapToGrid/>
        <w:spacing w:before="312" w:beforeLines="100" w:beforeAutospacing="0" w:after="312" w:afterLines="100" w:afterAutospacing="0" w:line="560" w:lineRule="exact"/>
        <w:jc w:val="center"/>
        <w:textAlignment w:val="auto"/>
        <w:rPr>
          <w:rFonts w:hint="eastAsia" w:ascii="黑体" w:hAnsi="黑体" w:eastAsia="黑体" w:cs="黑体"/>
          <w:sz w:val="32"/>
          <w:szCs w:val="32"/>
        </w:rPr>
      </w:pPr>
      <w:r>
        <w:rPr>
          <w:rFonts w:hint="eastAsia" w:ascii="方正小标宋简体" w:hAnsi="方正小标宋简体" w:eastAsia="方正小标宋简体" w:cs="方正小标宋简体"/>
          <w:kern w:val="2"/>
          <w:sz w:val="44"/>
          <w:szCs w:val="44"/>
        </w:rPr>
        <w:t>202</w:t>
      </w:r>
      <w:r>
        <w:rPr>
          <w:rFonts w:hint="eastAsia" w:ascii="方正小标宋简体" w:hAnsi="方正小标宋简体" w:eastAsia="方正小标宋简体" w:cs="方正小标宋简体"/>
          <w:kern w:val="2"/>
          <w:sz w:val="44"/>
          <w:szCs w:val="44"/>
          <w:lang w:val="en-US" w:eastAsia="zh-CN"/>
        </w:rPr>
        <w:t>6</w:t>
      </w:r>
      <w:r>
        <w:rPr>
          <w:rFonts w:hint="eastAsia" w:ascii="方正小标宋简体" w:hAnsi="方正小标宋简体" w:eastAsia="方正小标宋简体" w:cs="方正小标宋简体"/>
          <w:kern w:val="2"/>
          <w:sz w:val="44"/>
          <w:szCs w:val="44"/>
        </w:rPr>
        <w:t>年一般公共预算编报说明</w:t>
      </w:r>
    </w:p>
    <w:p w14:paraId="1A76194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一、指导思想与总体要求</w:t>
      </w:r>
    </w:p>
    <w:p w14:paraId="5781E5C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highlight w:val="none"/>
        </w:rPr>
        <w:t>以习近平新时代中国特色社会主义思想为指导，全面贯彻落实党的二十大和二十届</w:t>
      </w:r>
      <w:r>
        <w:rPr>
          <w:rFonts w:hint="eastAsia" w:ascii="仿宋_GB2312" w:hAnsi="仿宋_GB2312" w:eastAsia="仿宋_GB2312" w:cs="仿宋_GB2312"/>
          <w:spacing w:val="0"/>
          <w:sz w:val="32"/>
          <w:szCs w:val="32"/>
          <w:highlight w:val="none"/>
          <w:lang w:val="en-US" w:eastAsia="zh-CN"/>
        </w:rPr>
        <w:t>历次</w:t>
      </w:r>
      <w:r>
        <w:rPr>
          <w:rFonts w:hint="eastAsia" w:ascii="仿宋_GB2312" w:hAnsi="仿宋_GB2312" w:eastAsia="仿宋_GB2312" w:cs="仿宋_GB2312"/>
          <w:spacing w:val="0"/>
          <w:sz w:val="32"/>
          <w:szCs w:val="32"/>
          <w:highlight w:val="none"/>
        </w:rPr>
        <w:t>全会以及中央经济工作会议精神，深入落实习近平总书记考察湖北重要讲话精神，认真落实市委七届</w:t>
      </w:r>
      <w:r>
        <w:rPr>
          <w:rFonts w:hint="eastAsia" w:ascii="仿宋_GB2312" w:hAnsi="仿宋_GB2312" w:eastAsia="仿宋_GB2312" w:cs="仿宋_GB2312"/>
          <w:spacing w:val="0"/>
          <w:sz w:val="32"/>
          <w:szCs w:val="32"/>
          <w:highlight w:val="none"/>
          <w:lang w:val="en-US" w:eastAsia="zh-CN"/>
        </w:rPr>
        <w:t>历次</w:t>
      </w:r>
      <w:r>
        <w:rPr>
          <w:rFonts w:hint="eastAsia" w:ascii="仿宋_GB2312" w:hAnsi="仿宋_GB2312" w:eastAsia="仿宋_GB2312" w:cs="仿宋_GB2312"/>
          <w:spacing w:val="0"/>
          <w:sz w:val="32"/>
          <w:szCs w:val="32"/>
          <w:highlight w:val="none"/>
        </w:rPr>
        <w:t>全会决策部署</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坚持稳中求进工作总基调，完整准确全面贯彻新发展理念，积极服务构建新发展格局；进一步全面深化改革，建设现代化产业体系，推动科技创新和产业创新融合发展，增强高质量发展动力活力；</w:t>
      </w:r>
      <w:r>
        <w:rPr>
          <w:rFonts w:hint="eastAsia" w:ascii="仿宋_GB2312" w:hAnsi="仿宋_GB2312" w:eastAsia="仿宋_GB2312" w:cs="仿宋_GB2312"/>
          <w:i w:val="0"/>
          <w:iCs w:val="0"/>
          <w:caps w:val="0"/>
          <w:spacing w:val="0"/>
          <w:sz w:val="32"/>
          <w:szCs w:val="32"/>
          <w:shd w:val="clear" w:color="auto" w:fill="FFFFFF"/>
        </w:rPr>
        <w:t>继续</w:t>
      </w:r>
      <w:r>
        <w:rPr>
          <w:rFonts w:hint="eastAsia" w:ascii="仿宋_GB2312" w:hAnsi="仿宋_GB2312" w:eastAsia="仿宋_GB2312" w:cs="仿宋_GB2312"/>
          <w:spacing w:val="0"/>
          <w:sz w:val="32"/>
          <w:szCs w:val="32"/>
          <w:highlight w:val="none"/>
        </w:rPr>
        <w:t>发挥积极财政政策作用，</w:t>
      </w:r>
      <w:r>
        <w:rPr>
          <w:rFonts w:hint="eastAsia" w:ascii="仿宋_GB2312" w:hAnsi="仿宋_GB2312" w:eastAsia="仿宋_GB2312" w:cs="仿宋_GB2312"/>
          <w:i w:val="0"/>
          <w:iCs w:val="0"/>
          <w:caps w:val="0"/>
          <w:spacing w:val="0"/>
          <w:sz w:val="32"/>
          <w:szCs w:val="32"/>
          <w:shd w:val="clear" w:color="auto" w:fill="FFFFFF"/>
          <w:lang w:val="en-US" w:eastAsia="zh-CN"/>
        </w:rPr>
        <w:t>用好</w:t>
      </w:r>
      <w:r>
        <w:rPr>
          <w:rFonts w:hint="eastAsia" w:ascii="仿宋_GB2312" w:hAnsi="仿宋_GB2312" w:eastAsia="仿宋_GB2312" w:cs="仿宋_GB2312"/>
          <w:i w:val="0"/>
          <w:iCs w:val="0"/>
          <w:caps w:val="0"/>
          <w:spacing w:val="0"/>
          <w:sz w:val="32"/>
          <w:szCs w:val="32"/>
          <w:shd w:val="clear" w:color="auto" w:fill="FFFFFF"/>
        </w:rPr>
        <w:t>存量政策和增量政策集成效应，</w:t>
      </w:r>
      <w:r>
        <w:rPr>
          <w:rFonts w:hint="eastAsia" w:ascii="仿宋_GB2312" w:hAnsi="仿宋_GB2312" w:eastAsia="仿宋_GB2312" w:cs="仿宋_GB2312"/>
          <w:spacing w:val="0"/>
          <w:sz w:val="32"/>
          <w:szCs w:val="32"/>
          <w:highlight w:val="none"/>
          <w:lang w:val="en-US" w:eastAsia="zh-CN"/>
        </w:rPr>
        <w:t>加强重点领域保障</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增强财政可持续性</w:t>
      </w:r>
      <w:r>
        <w:rPr>
          <w:rFonts w:hint="eastAsia" w:ascii="仿宋_GB2312" w:hAnsi="仿宋_GB2312" w:eastAsia="仿宋_GB2312" w:cs="仿宋_GB2312"/>
          <w:spacing w:val="0"/>
          <w:sz w:val="32"/>
          <w:szCs w:val="32"/>
          <w:highlight w:val="none"/>
          <w:lang w:val="en-US" w:eastAsia="zh-CN"/>
        </w:rPr>
        <w:t>；不断推进</w:t>
      </w:r>
      <w:r>
        <w:rPr>
          <w:rFonts w:hint="eastAsia" w:ascii="仿宋_GB2312" w:hAnsi="仿宋_GB2312" w:eastAsia="仿宋_GB2312" w:cs="仿宋_GB2312"/>
          <w:i w:val="0"/>
          <w:iCs w:val="0"/>
          <w:caps w:val="0"/>
          <w:spacing w:val="0"/>
          <w:sz w:val="32"/>
          <w:szCs w:val="32"/>
          <w:shd w:val="clear" w:color="auto" w:fill="FFFFFF"/>
        </w:rPr>
        <w:t>财政科学管理</w:t>
      </w:r>
      <w:r>
        <w:rPr>
          <w:rFonts w:hint="eastAsia" w:ascii="仿宋_GB2312" w:hAnsi="仿宋_GB2312" w:eastAsia="仿宋_GB2312" w:cs="仿宋_GB2312"/>
          <w:i w:val="0"/>
          <w:iCs w:val="0"/>
          <w:caps w:val="0"/>
          <w:spacing w:val="0"/>
          <w:sz w:val="32"/>
          <w:szCs w:val="32"/>
          <w:shd w:val="clear" w:color="auto" w:fill="FFFFFF"/>
          <w:lang w:val="en-US" w:eastAsia="zh-CN"/>
        </w:rPr>
        <w:t>改革</w:t>
      </w:r>
      <w:r>
        <w:rPr>
          <w:rFonts w:hint="eastAsia" w:ascii="仿宋_GB2312" w:hAnsi="仿宋_GB2312" w:eastAsia="仿宋_GB2312" w:cs="仿宋_GB2312"/>
          <w:i w:val="0"/>
          <w:iCs w:val="0"/>
          <w:caps w:val="0"/>
          <w:spacing w:val="0"/>
          <w:sz w:val="32"/>
          <w:szCs w:val="32"/>
          <w:shd w:val="clear" w:color="auto" w:fill="FFFFFF"/>
        </w:rPr>
        <w:t>，</w:t>
      </w:r>
      <w:r>
        <w:rPr>
          <w:rFonts w:hint="eastAsia" w:ascii="仿宋_GB2312" w:hAnsi="仿宋_GB2312" w:eastAsia="仿宋_GB2312" w:cs="仿宋_GB2312"/>
          <w:spacing w:val="0"/>
          <w:sz w:val="32"/>
          <w:szCs w:val="32"/>
          <w:highlight w:val="none"/>
          <w:lang w:val="en-US" w:eastAsia="zh-CN"/>
        </w:rPr>
        <w:t>大力优化财政支出结构，</w:t>
      </w:r>
      <w:r>
        <w:rPr>
          <w:rFonts w:hint="eastAsia" w:ascii="仿宋_GB2312" w:hAnsi="仿宋_GB2312" w:eastAsia="仿宋_GB2312" w:cs="仿宋_GB2312"/>
          <w:spacing w:val="0"/>
          <w:sz w:val="32"/>
          <w:szCs w:val="32"/>
          <w:highlight w:val="none"/>
        </w:rPr>
        <w:t>加强预算绩效管理</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提高财政资金使用效益，兜牢兜实“三保”底线，积极稳妥化解重点领域风险；坚持民生为大，着力稳就业、稳企业、稳市场、稳预期，推动经济实现质的有效提升和量的合理增长，保持社会和谐稳定，实现“十五五”开好局、起好步。</w:t>
      </w:r>
    </w:p>
    <w:p w14:paraId="2A84F54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二、工作重点</w:t>
      </w:r>
    </w:p>
    <w:p w14:paraId="4CF87B31">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（一）落实党政机关习惯过紧日子。</w:t>
      </w:r>
      <w:r>
        <w:rPr>
          <w:rFonts w:hint="eastAsia" w:ascii="仿宋_GB2312" w:hAnsi="仿宋_GB2312" w:eastAsia="仿宋_GB2312" w:cs="仿宋_GB2312"/>
          <w:sz w:val="32"/>
          <w:szCs w:val="32"/>
          <w:lang w:val="en-US" w:eastAsia="zh-CN"/>
        </w:rPr>
        <w:t>牢固树立党政机关过紧日子思想，严格落实新修订的《党政机关厉行节约反对浪费条例》，从严从紧安排预算，精打细算用好财政资金。从严管理“三公”经费等一般性支出，“三公”经费预算安排应与公车数量和相关公务活动批次、规模、实际需求等衔接，严格控制国内差旅、因公出国、公务接待、公务用车、会议培训、办公用房等支出，在保障部门履职必需支出的前提下，着力降低公务活动成本。在编制预算时，财政部门同步下达“三公”经费编制上限控制数，同时严格审核部门预算调剂事项。严控财政供养编外人员规模，严禁违规增加编外人员，加强部门单位编外人员经费审核。加强政府购买服务管理，原则上应由本单位直接履行职责的工作事项，不得通过政府购买服务方式实施。开展过紧日子评估，将评估结果与预算安排挂钩。</w:t>
      </w:r>
    </w:p>
    <w:p w14:paraId="77FF3C05">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（二）合理确定保障重点和优先顺序。</w:t>
      </w:r>
      <w:r>
        <w:rPr>
          <w:rFonts w:hint="eastAsia" w:ascii="仿宋_GB2312" w:hAnsi="仿宋_GB2312" w:eastAsia="仿宋_GB2312" w:cs="仿宋_GB2312"/>
          <w:sz w:val="32"/>
          <w:szCs w:val="32"/>
          <w:lang w:val="en-US" w:eastAsia="zh-CN"/>
        </w:rPr>
        <w:t>编制年度重点保障事项清单，全力保障“三保”支出和政策性支出。坚持优先保障“三保”支出、政府债务还本付息支出，将落实中央、省重大政策和市委、市政府年度重点任务作为预算安排的首要任务。聚焦我市重大项目、重要领域、重点民生等支出需求，纳入预算合理保障。根据经济发展需要和本级财力情况，统筹安排部门必须开展的专项业务支出、一般事业发展支出和其他支出等。</w:t>
      </w:r>
    </w:p>
    <w:p w14:paraId="3C273902">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（三）着力推进零基预算改革试点。</w:t>
      </w:r>
      <w:r>
        <w:rPr>
          <w:rFonts w:hint="eastAsia" w:ascii="仿宋_GB2312" w:hAnsi="仿宋_GB2312" w:eastAsia="仿宋_GB2312" w:cs="仿宋_GB2312"/>
          <w:sz w:val="32"/>
          <w:szCs w:val="32"/>
          <w:lang w:val="en-US" w:eastAsia="zh-CN"/>
        </w:rPr>
        <w:t>坚持以政策定项目、以标准定额度、以绩效定增减，将零基预算理念全面引入部门预算管理，推动部门单位做实做细预算编制，打破支出固化僵化格局。开展支出政策清理，坚持“先有政策、再有项目、后有预算”，各部门要清理评估现有项目设置及实施情况，聚焦部门主责优化项目设置，对执行到期、目标完成、交叉重复、低效无效或不再具备执行条件的及时退出，对超出财政承受能力、支出责任划分不清晰的支出政策调整优化。加快推进支出标准体系建设，基本支出根据定员定额据实测算，项目支出根据已制定标准科学测算；强化财政支出标准应用，要将支出标准作为预算编制和审核的基本依据，不得超标准编制预算。持续推进项目全生命周期管理，预算单位所有预算支出全部以项目形式纳入市级预算项目库管理，预算单位设立项目应紧密结合单位“三定”方案，提前研究谋划项目，做实做细项目储备和各项前期工作，做到预算一经批准即可实施。</w:t>
      </w:r>
    </w:p>
    <w:p w14:paraId="42B7FD88">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（四）加大财政资源和预算统筹力度。</w:t>
      </w:r>
      <w:r>
        <w:rPr>
          <w:rFonts w:hint="eastAsia" w:ascii="仿宋_GB2312" w:hAnsi="仿宋_GB2312" w:eastAsia="仿宋_GB2312" w:cs="仿宋_GB2312"/>
          <w:sz w:val="32"/>
          <w:szCs w:val="32"/>
          <w:lang w:val="en-US" w:eastAsia="zh-CN"/>
        </w:rPr>
        <w:t>加强一般公共预算、政府性基金预算和国有资本经营预算“三本预算”统筹，减少交叉重复安排。深化国有“三资”管理，着力推进国有资源资产化、国有资产证券化和国有资金杠杆化。所有非税收入应全部及时上缴国库，不得截留、占用、挪用、坐支或者拖欠。对全额财政拨款单位纳入一般公共预算管理的非税收入结转结余资金，按规定收回市级财政，用于补充预算稳定调节基金。强化部门支出统筹能力，打破跨部门项目管理边界，对任务目标相似、支出方向相近的资金进一步加强统筹，强化部门所属单位间资金统筹。加强财政资金和非财政性资金统筹，将部门单位依法取得的事业收入、事业单位经营收入等纳入部门预算管理，在部门非财政性资金可满足支出需求时，优先使用非财政拨款，不安排新增财政拨款。建立存量资金与预算安排挂钩机制，坚持“零基为常态、结转为例外”的原则，对结余资金收回使用，减少资金沉淀闲置。</w:t>
      </w:r>
    </w:p>
    <w:p w14:paraId="0E3F7628">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（五）推动预算绩效管理提质增效。</w:t>
      </w:r>
      <w:r>
        <w:rPr>
          <w:rFonts w:hint="eastAsia" w:ascii="仿宋_GB2312" w:hAnsi="仿宋_GB2312" w:eastAsia="仿宋_GB2312" w:cs="仿宋_GB2312"/>
          <w:sz w:val="32"/>
          <w:szCs w:val="32"/>
          <w:lang w:val="en-US" w:eastAsia="zh-CN"/>
        </w:rPr>
        <w:t>坚持将绩效管理实质性嵌入预算编制、执行和监督，不断完善“编制有目标、事中有监控、事后有评价、结果有应用”的全过程绩效运行机制。全面落实事前绩效评估工作要求，充分发挥事前绩效评估把关作用。科学合理编制绩效目标，绩效目标设定应经过科学论证和调研，要指向明确、细化量化、合理可行、与预算匹配。按照“全面覆盖、突出重点，权责对等、约束有力，结果运用、及时纠偏”的原则加强预算绩效运行监控。提升预算绩效评价效能，严格对照绩效目标进行自评，加大财政重点评价力度，加强重点环节把控，提高绩效评价报告质量。强化绩效评价结果应用，将评价结果作为安排预算、完善政策、改进管理的重要依据。</w:t>
      </w:r>
    </w:p>
    <w:p w14:paraId="3A45712F">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（六）强化财会监督和监督结果应用。</w:t>
      </w:r>
      <w:r>
        <w:rPr>
          <w:rFonts w:hint="eastAsia" w:ascii="仿宋_GB2312" w:hAnsi="仿宋_GB2312" w:eastAsia="仿宋_GB2312" w:cs="仿宋_GB2312"/>
          <w:sz w:val="32"/>
          <w:szCs w:val="32"/>
          <w:lang w:val="en-US" w:eastAsia="zh-CN"/>
        </w:rPr>
        <w:t>部门和单位要认真履行预算管理主体责任，对预算真实性、完整性、规范性及执行结果负责，确保预算编制、预算执行、会计核算的一致性。认真落实人大预算审查监督要求，切实有效整改巡视巡察、审计、预算执行监控、违规吃喝专项检查、财会监督等发现的问题，加强成果运用，提高预算编制质量。严格执行财经法律法规和管理规定，坚持先有预算、后有支出，严禁超预算或者无预算安排支出。严格遵守政府采购、新增资产配置预算编制要求，做到合理合规，应编尽编。</w:t>
      </w:r>
    </w:p>
    <w:p w14:paraId="6D778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三、一般公共预算收支情况说明</w:t>
      </w:r>
    </w:p>
    <w:p w14:paraId="11BCDDF7">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bookmarkStart w:id="0" w:name="_Hlk122274906"/>
      <w:r>
        <w:rPr>
          <w:rFonts w:hint="eastAsia" w:ascii="楷体_GB2312" w:hAnsi="楷体_GB2312" w:eastAsia="楷体_GB2312" w:cs="楷体_GB2312"/>
          <w:b/>
          <w:bCs/>
          <w:sz w:val="32"/>
          <w:szCs w:val="32"/>
          <w:lang w:val="en-US" w:eastAsia="zh-CN"/>
        </w:rPr>
        <w:t>（一）一般公共预算收入情况</w:t>
      </w:r>
    </w:p>
    <w:p w14:paraId="6A064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年，一般公共预算收入年初预算安排</w:t>
      </w:r>
      <w:r>
        <w:rPr>
          <w:rFonts w:hint="eastAsia" w:ascii="仿宋_GB2312" w:hAnsi="仿宋_GB2312" w:eastAsia="仿宋_GB2312" w:cs="仿宋_GB2312"/>
          <w:color w:val="auto"/>
          <w:sz w:val="32"/>
          <w:szCs w:val="32"/>
          <w:lang w:val="en-US" w:eastAsia="zh-CN"/>
        </w:rPr>
        <w:t>626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00万元，</w:t>
      </w:r>
      <w:r>
        <w:rPr>
          <w:rFonts w:hint="eastAsia" w:ascii="仿宋_GB2312" w:hAnsi="仿宋_GB2312" w:eastAsia="仿宋_GB2312" w:cs="仿宋_GB2312"/>
          <w:sz w:val="32"/>
          <w:szCs w:val="32"/>
          <w:highlight w:val="none"/>
        </w:rPr>
        <w:t>增长</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none"/>
        </w:rPr>
        <w:t>地方税收收入占一般公共预算收入的比重为6</w:t>
      </w:r>
      <w:r>
        <w:rPr>
          <w:rFonts w:hint="eastAsia" w:ascii="仿宋_GB2312" w:hAnsi="仿宋_GB2312" w:cs="仿宋_GB2312"/>
          <w:sz w:val="32"/>
          <w:szCs w:val="32"/>
          <w:highlight w:val="none"/>
          <w:u w:val="none"/>
          <w:lang w:val="en-US" w:eastAsia="zh-CN"/>
        </w:rPr>
        <w:t>3.8</w:t>
      </w:r>
      <w:r>
        <w:rPr>
          <w:rFonts w:hint="eastAsia" w:ascii="仿宋_GB2312" w:hAnsi="仿宋_GB2312" w:eastAsia="仿宋_GB2312" w:cs="仿宋_GB2312"/>
          <w:sz w:val="32"/>
          <w:szCs w:val="32"/>
          <w:highlight w:val="none"/>
          <w:u w:val="none"/>
        </w:rPr>
        <w:t>%，同比提高</w:t>
      </w: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rPr>
        <w:t>个百分点</w:t>
      </w:r>
      <w:r>
        <w:rPr>
          <w:rFonts w:hint="eastAsia" w:ascii="仿宋_GB2312" w:hAnsi="仿宋_GB2312" w:eastAsia="仿宋_GB2312" w:cs="仿宋_GB2312"/>
          <w:color w:val="auto"/>
          <w:sz w:val="32"/>
          <w:szCs w:val="32"/>
        </w:rPr>
        <w:t>。综合以上两个目标，地方税收收入安排3</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00万元，同比增长</w:t>
      </w:r>
      <w:r>
        <w:rPr>
          <w:rFonts w:hint="eastAsia" w:ascii="仿宋_GB2312" w:hAnsi="仿宋_GB2312" w:eastAsia="仿宋_GB2312" w:cs="仿宋_GB2312"/>
          <w:color w:val="auto"/>
          <w:sz w:val="32"/>
          <w:szCs w:val="32"/>
          <w:lang w:val="en-US" w:eastAsia="zh-CN"/>
        </w:rPr>
        <w:t>4.9</w:t>
      </w:r>
      <w:r>
        <w:rPr>
          <w:rFonts w:hint="eastAsia" w:ascii="仿宋_GB2312" w:hAnsi="仿宋_GB2312" w:eastAsia="仿宋_GB2312" w:cs="仿宋_GB2312"/>
          <w:color w:val="auto"/>
          <w:sz w:val="32"/>
          <w:szCs w:val="32"/>
        </w:rPr>
        <w:t>%；非税收入安排</w:t>
      </w:r>
      <w:r>
        <w:rPr>
          <w:rFonts w:hint="eastAsia" w:ascii="仿宋_GB2312" w:hAnsi="仿宋_GB2312" w:eastAsia="仿宋_GB2312" w:cs="仿宋_GB2312"/>
          <w:color w:val="auto"/>
          <w:sz w:val="32"/>
          <w:szCs w:val="32"/>
          <w:lang w:val="en-US" w:eastAsia="zh-CN"/>
        </w:rPr>
        <w:t>226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00万元，</w:t>
      </w:r>
      <w:r>
        <w:rPr>
          <w:rFonts w:hint="eastAsia" w:ascii="仿宋_GB2312" w:hAnsi="仿宋_GB2312" w:eastAsia="仿宋_GB2312" w:cs="仿宋_GB2312"/>
          <w:color w:val="auto"/>
          <w:sz w:val="32"/>
          <w:szCs w:val="32"/>
          <w:lang w:val="en-US" w:eastAsia="zh-CN"/>
        </w:rPr>
        <w:t>增长14</w:t>
      </w:r>
      <w:bookmarkStart w:id="6" w:name="_GoBack"/>
      <w:bookmarkEnd w:id="6"/>
      <w:r>
        <w:rPr>
          <w:rFonts w:hint="eastAsia" w:ascii="仿宋_GB2312" w:hAnsi="仿宋_GB2312" w:eastAsia="仿宋_GB2312" w:cs="仿宋_GB2312"/>
          <w:color w:val="auto"/>
          <w:sz w:val="32"/>
          <w:szCs w:val="32"/>
        </w:rPr>
        <w:t>%。</w:t>
      </w:r>
    </w:p>
    <w:p w14:paraId="53B40C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（二）一般公共预算支出情况</w:t>
      </w:r>
    </w:p>
    <w:p w14:paraId="15044E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年，一般公共预算支出年初预算安排</w:t>
      </w:r>
      <w:r>
        <w:rPr>
          <w:rFonts w:hint="eastAsia" w:ascii="仿宋_GB2312" w:hAnsi="仿宋_GB2312" w:eastAsia="仿宋_GB2312" w:cs="仿宋_GB2312"/>
          <w:sz w:val="32"/>
          <w:szCs w:val="32"/>
          <w:highlight w:val="none"/>
          <w:u w:val="none"/>
        </w:rPr>
        <w:t>76</w:t>
      </w:r>
      <w:r>
        <w:rPr>
          <w:rFonts w:hint="eastAsia" w:ascii="仿宋_GB2312" w:hAnsi="仿宋_GB2312" w:eastAsia="仿宋_GB2312" w:cs="仿宋_GB2312"/>
          <w:sz w:val="32"/>
          <w:szCs w:val="32"/>
          <w:highlight w:val="none"/>
          <w:u w:val="none"/>
          <w:lang w:val="en-US" w:eastAsia="zh-CN"/>
        </w:rPr>
        <w:t>5</w:t>
      </w:r>
      <w:r>
        <w:rPr>
          <w:rFonts w:hint="eastAsia" w:ascii="仿宋_GB2312" w:hAnsi="仿宋_GB2312" w:eastAsia="仿宋_GB2312" w:cs="仿宋_GB2312"/>
          <w:sz w:val="32"/>
          <w:szCs w:val="32"/>
          <w:highlight w:val="none"/>
          <w:u w:val="none"/>
        </w:rPr>
        <w:t>,8</w:t>
      </w:r>
      <w:r>
        <w:rPr>
          <w:rFonts w:hint="eastAsia" w:ascii="仿宋_GB2312" w:hAnsi="仿宋_GB2312" w:eastAsia="仿宋_GB2312" w:cs="仿宋_GB2312"/>
          <w:sz w:val="32"/>
          <w:szCs w:val="32"/>
          <w:highlight w:val="none"/>
          <w:u w:val="none"/>
          <w:lang w:val="en-US" w:eastAsia="zh-CN"/>
        </w:rPr>
        <w:t>68</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年年初预算数</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color w:val="auto"/>
          <w:sz w:val="32"/>
          <w:szCs w:val="32"/>
          <w:lang w:val="en-US" w:eastAsia="zh-CN"/>
        </w:rPr>
        <w:t>973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基本保持持平。</w:t>
      </w:r>
    </w:p>
    <w:p w14:paraId="4D0538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（三）一般公共预算收支平衡情况</w:t>
      </w:r>
    </w:p>
    <w:p w14:paraId="1703E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highlight w:val="yellow"/>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rPr>
        <w:t>年，一般公共预算收支（含与省结算收支）缺口为</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947</w:t>
      </w:r>
      <w:r>
        <w:rPr>
          <w:rFonts w:hint="eastAsia" w:ascii="仿宋_GB2312" w:hAnsi="仿宋_GB2312" w:eastAsia="仿宋_GB2312" w:cs="仿宋_GB2312"/>
          <w:color w:val="auto"/>
          <w:sz w:val="32"/>
          <w:szCs w:val="32"/>
        </w:rPr>
        <w:t>万元，计划通过从政府性基金预算（土地出让金净收益）调入</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0万元，从国有资本经营预算调入</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827</w:t>
      </w:r>
      <w:r>
        <w:rPr>
          <w:rFonts w:hint="eastAsia" w:ascii="仿宋_GB2312" w:hAnsi="仿宋_GB2312" w:eastAsia="仿宋_GB2312" w:cs="仿宋_GB2312"/>
          <w:color w:val="auto"/>
          <w:sz w:val="32"/>
          <w:szCs w:val="32"/>
        </w:rPr>
        <w:t>万元。</w:t>
      </w:r>
      <w:bookmarkEnd w:id="0"/>
    </w:p>
    <w:p w14:paraId="0558D9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四、202</w:t>
      </w:r>
      <w:r>
        <w:rPr>
          <w:rFonts w:hint="eastAsia" w:ascii="黑体" w:hAnsi="黑体" w:eastAsia="黑体" w:cs="黑体"/>
          <w:sz w:val="32"/>
          <w:szCs w:val="32"/>
          <w:lang w:val="en-US" w:eastAsia="zh-CN"/>
        </w:rPr>
        <w:t>6</w:t>
      </w:r>
      <w:r>
        <w:rPr>
          <w:rFonts w:hint="eastAsia" w:ascii="黑体" w:hAnsi="黑体" w:eastAsia="黑体" w:cs="黑体"/>
          <w:sz w:val="32"/>
          <w:szCs w:val="32"/>
        </w:rPr>
        <w:t>年部门预算编制内容及要求</w:t>
      </w:r>
    </w:p>
    <w:p w14:paraId="2FEBF91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所有预算单位均应编制部门预算。预算编制应当从基层独立核算单位编起，按照管理级次逐级审核、汇总。各预算单位要坚持统筹兼顾、量入为出，依法依规积极组织收入，合理安排预算支出规模。严控新增支出事项，优先通过调整优先支出结构等方式，解决新增需求，确保收支预算平衡；规范资产配置管理，加强国有“三资”清理盘点。根据预算编制要求，真实详细完整填报2026年预算编报说明。</w:t>
      </w:r>
    </w:p>
    <w:p w14:paraId="4E9C1247">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u w:val="none"/>
          <w:lang w:val="en-US" w:eastAsia="zh-CN"/>
          <w14:textFill>
            <w14:solidFill>
              <w14:schemeClr w14:val="tx1"/>
            </w14:solidFill>
          </w14:textFill>
        </w:rPr>
        <w:t>（一）收入预算的编制</w:t>
      </w:r>
    </w:p>
    <w:p w14:paraId="793BFA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1.纳入部门预算管理的收入</w:t>
      </w:r>
    </w:p>
    <w:p w14:paraId="2088C96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部门预算收入主要包括财政拨款收入、财政专户管理资金收入（特指教育收费，下同）、单位资金收入（包括事业收入、上级补助收入、附属单位上缴收入、事业单位经营收入、其他收入等）。财政专户管理资金、单位资金应当根据实际情况充分、合理预计，并全部纳入预算统筹使用。</w:t>
      </w:r>
    </w:p>
    <w:p w14:paraId="64FC29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2.纳入政府预算管理的非税收入</w:t>
      </w:r>
    </w:p>
    <w:p w14:paraId="40D7CA0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纳入预算管理的非税收入应结合社会经济环境变化情况和政策性增减变化因素，合理预计2026年当年征收预计数，准确研判2025年年底结余预计数，形成完整的2026年纳入预算管理非税收入征收计划，并严格按照《政府收支分类科目》填报。</w:t>
      </w:r>
    </w:p>
    <w:p w14:paraId="14834D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3.上级转移支付收入</w:t>
      </w:r>
    </w:p>
    <w:p w14:paraId="6F327CA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转移支付收入（含一般公共预算和政府性基金预算资金）原则上应按照上级提前下达数编列。市财政局将上级转移支付资金提前下达情况及时通知相关部门，由相关部门会同市财政局按规定分配安排预算支出项目。</w:t>
      </w:r>
    </w:p>
    <w:p w14:paraId="19BC0B6A">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u w:val="none"/>
          <w:lang w:val="en-US" w:eastAsia="zh-CN"/>
          <w14:textFill>
            <w14:solidFill>
              <w14:schemeClr w14:val="tx1"/>
            </w14:solidFill>
          </w14:textFill>
        </w:rPr>
        <w:t>（二）支出预算的编制</w:t>
      </w:r>
    </w:p>
    <w:p w14:paraId="1F8B8112">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1.人员类项目预算</w:t>
      </w:r>
    </w:p>
    <w:p w14:paraId="3C1AB12E">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“一上”时，各预算单位通过预算管理一体化系统申报单位信息和人员信息，如有特殊事项或重大变动（如机构撤并、转隶、新增等），应专门作出书面说明。市财政局将</w:t>
      </w:r>
      <w:r>
        <w:rPr>
          <w:rFonts w:hint="eastAsia" w:ascii="仿宋_GB2312" w:hAnsi="仿宋_GB2312" w:eastAsia="仿宋_GB2312" w:cs="仿宋_GB2312"/>
          <w:sz w:val="32"/>
          <w:szCs w:val="32"/>
          <w:u w:val="none"/>
          <w:lang w:eastAsia="zh-CN"/>
        </w:rPr>
        <w:t>依据机构编制、人社和组织部门出具的相关文件或资料，对预算单位的相关信息进行审核，</w:t>
      </w:r>
      <w:r>
        <w:rPr>
          <w:rFonts w:hint="eastAsia" w:ascii="仿宋_GB2312" w:hAnsi="仿宋_GB2312" w:eastAsia="仿宋_GB2312" w:cs="仿宋_GB2312"/>
          <w:sz w:val="32"/>
          <w:szCs w:val="32"/>
          <w:u w:val="none"/>
          <w:lang w:val="en-US" w:eastAsia="zh-CN"/>
        </w:rPr>
        <w:t>终审后由预算单位通过</w:t>
      </w:r>
      <w:r>
        <w:rPr>
          <w:rFonts w:hint="eastAsia" w:ascii="仿宋_GB2312" w:hAnsi="仿宋_GB2312" w:eastAsia="仿宋_GB2312" w:cs="仿宋_GB2312"/>
          <w:sz w:val="32"/>
          <w:szCs w:val="32"/>
          <w:u w:val="none"/>
          <w:lang w:eastAsia="zh-CN"/>
        </w:rPr>
        <w:t>系统测算</w:t>
      </w:r>
      <w:r>
        <w:rPr>
          <w:rFonts w:hint="eastAsia" w:ascii="仿宋_GB2312" w:hAnsi="仿宋_GB2312" w:eastAsia="仿宋_GB2312" w:cs="仿宋_GB2312"/>
          <w:sz w:val="32"/>
          <w:szCs w:val="32"/>
          <w:u w:val="none"/>
          <w:lang w:val="en-US" w:eastAsia="zh-CN"/>
        </w:rPr>
        <w:t>自动</w:t>
      </w:r>
      <w:r>
        <w:rPr>
          <w:rFonts w:hint="eastAsia" w:ascii="仿宋_GB2312" w:hAnsi="仿宋_GB2312" w:eastAsia="仿宋_GB2312" w:cs="仿宋_GB2312"/>
          <w:sz w:val="32"/>
          <w:szCs w:val="32"/>
          <w:u w:val="none"/>
          <w:lang w:eastAsia="zh-CN"/>
        </w:rPr>
        <w:t>生成人员类项目并申报支出预算。“一下”控制数下达后，市财政局原则上不再受理新增人员的增人增支事项调整的申请。</w:t>
      </w:r>
    </w:p>
    <w:p w14:paraId="58AAD0F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u w:val="none"/>
          <w:lang w:eastAsia="zh-CN"/>
        </w:rPr>
        <w:t>“二上”时，各预算单位应统筹相关资金，按国家工资政</w:t>
      </w:r>
      <w:r>
        <w:rPr>
          <w:rFonts w:hint="eastAsia" w:ascii="仿宋_GB2312" w:hAnsi="仿宋_GB2312" w:eastAsia="仿宋_GB2312" w:cs="仿宋_GB2312"/>
          <w:sz w:val="32"/>
          <w:szCs w:val="32"/>
          <w:highlight w:val="none"/>
          <w:u w:val="none"/>
          <w:lang w:eastAsia="zh-CN"/>
        </w:rPr>
        <w:t>策、津补贴政策和社保缴费政策等规定足额保障基本需求</w:t>
      </w:r>
      <w:r>
        <w:rPr>
          <w:rFonts w:hint="eastAsia" w:ascii="仿宋_GB2312" w:hAnsi="仿宋_GB2312" w:eastAsia="仿宋_GB2312" w:cs="仿宋_GB2312"/>
          <w:sz w:val="32"/>
          <w:szCs w:val="32"/>
          <w:highlight w:val="none"/>
          <w:lang w:eastAsia="zh-CN"/>
        </w:rPr>
        <w:t>，并细化编制人员类项目。</w:t>
      </w:r>
      <w:r>
        <w:rPr>
          <w:rFonts w:hint="eastAsia" w:ascii="仿宋_GB2312" w:hAnsi="仿宋_GB2312" w:eastAsia="仿宋_GB2312" w:cs="仿宋_GB2312"/>
          <w:sz w:val="32"/>
          <w:szCs w:val="32"/>
          <w:lang w:eastAsia="zh-CN"/>
        </w:rPr>
        <w:t>财政全额拨款单位的运转类项目和特定目标类项目支出中原则上不得编列用于本单位编制内人员经费的支出。</w:t>
      </w:r>
    </w:p>
    <w:p w14:paraId="3B9EBED7">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2.运转类项目预算</w:t>
      </w:r>
    </w:p>
    <w:p w14:paraId="730B165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运转类项目包括各预算单位为保障其机构自身正常运转、完成日常工作任务所发生的</w:t>
      </w:r>
      <w:r>
        <w:rPr>
          <w:rFonts w:hint="eastAsia" w:ascii="仿宋_GB2312" w:hAnsi="仿宋_GB2312" w:eastAsia="仿宋_GB2312" w:cs="仿宋_GB2312"/>
          <w:b/>
          <w:bCs/>
          <w:sz w:val="32"/>
          <w:szCs w:val="32"/>
          <w:lang w:eastAsia="zh-CN"/>
        </w:rPr>
        <w:t>公用经费项目</w:t>
      </w:r>
      <w:r>
        <w:rPr>
          <w:rFonts w:hint="eastAsia" w:ascii="仿宋_GB2312" w:hAnsi="仿宋_GB2312" w:eastAsia="仿宋_GB2312" w:cs="仿宋_GB2312"/>
          <w:sz w:val="32"/>
          <w:szCs w:val="32"/>
          <w:lang w:eastAsia="zh-CN"/>
        </w:rPr>
        <w:t>和专项用于大型公用设施、大型专用设备、专业信息系统运行维护等的</w:t>
      </w:r>
      <w:r>
        <w:rPr>
          <w:rFonts w:hint="eastAsia" w:ascii="仿宋_GB2312" w:hAnsi="仿宋_GB2312" w:eastAsia="仿宋_GB2312" w:cs="仿宋_GB2312"/>
          <w:b/>
          <w:bCs/>
          <w:sz w:val="32"/>
          <w:szCs w:val="32"/>
          <w:lang w:eastAsia="zh-CN"/>
        </w:rPr>
        <w:t>其他运转类项目</w:t>
      </w:r>
      <w:r>
        <w:rPr>
          <w:rFonts w:hint="eastAsia" w:ascii="仿宋_GB2312" w:hAnsi="仿宋_GB2312" w:eastAsia="仿宋_GB2312" w:cs="仿宋_GB2312"/>
          <w:sz w:val="32"/>
          <w:szCs w:val="32"/>
          <w:lang w:eastAsia="zh-CN"/>
        </w:rPr>
        <w:t>。各预算单位应严格落实过紧日子相关规定，结合实际需求和财力状况，从严从紧编制运转类项目支出。</w:t>
      </w:r>
    </w:p>
    <w:p w14:paraId="0A29D11F">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（1）公用经费项目</w:t>
      </w:r>
    </w:p>
    <w:p w14:paraId="404B4135">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市财政局按照公用经费标准、</w:t>
      </w:r>
      <w:r>
        <w:rPr>
          <w:rFonts w:hint="eastAsia" w:ascii="仿宋_GB2312" w:hAnsi="仿宋_GB2312" w:eastAsia="仿宋_GB2312" w:cs="仿宋_GB2312"/>
          <w:color w:val="auto"/>
          <w:sz w:val="32"/>
          <w:szCs w:val="32"/>
          <w:lang w:eastAsia="zh-CN"/>
        </w:rPr>
        <w:t>单位人员编制数</w:t>
      </w:r>
      <w:r>
        <w:rPr>
          <w:rFonts w:hint="eastAsia" w:ascii="仿宋_GB2312" w:hAnsi="仿宋_GB2312" w:eastAsia="仿宋_GB2312" w:cs="仿宋_GB2312"/>
          <w:color w:val="auto"/>
          <w:sz w:val="32"/>
          <w:szCs w:val="32"/>
          <w:lang w:val="en-US" w:eastAsia="zh-CN"/>
        </w:rPr>
        <w:t>和在职实有人员数</w:t>
      </w:r>
      <w:r>
        <w:rPr>
          <w:rFonts w:hint="eastAsia" w:ascii="仿宋_GB2312" w:hAnsi="仿宋_GB2312" w:eastAsia="仿宋_GB2312" w:cs="仿宋_GB2312"/>
          <w:sz w:val="32"/>
          <w:szCs w:val="32"/>
          <w:lang w:eastAsia="zh-CN"/>
        </w:rPr>
        <w:t>计算核定日常公用经费总额。各预算单位应根据本单位实际情况，细化编制公用经</w:t>
      </w:r>
      <w:r>
        <w:rPr>
          <w:rFonts w:hint="eastAsia" w:ascii="仿宋_GB2312" w:hAnsi="仿宋_GB2312" w:eastAsia="仿宋_GB2312" w:cs="仿宋_GB2312"/>
          <w:sz w:val="32"/>
          <w:szCs w:val="32"/>
          <w:highlight w:val="none"/>
          <w:lang w:eastAsia="zh-CN"/>
        </w:rPr>
        <w:t>费项目。公益类事业单位应按照综合预算定额标准，合理</w:t>
      </w:r>
      <w:r>
        <w:rPr>
          <w:rFonts w:hint="eastAsia" w:ascii="仿宋_GB2312" w:hAnsi="仿宋_GB2312" w:eastAsia="仿宋_GB2312" w:cs="仿宋_GB2312"/>
          <w:sz w:val="32"/>
          <w:szCs w:val="32"/>
          <w:lang w:eastAsia="zh-CN"/>
        </w:rPr>
        <w:t>统筹财政拨款公用经费、财政专户管理资金及单位资金安排公用经费，</w:t>
      </w:r>
      <w:r>
        <w:rPr>
          <w:rFonts w:hint="eastAsia" w:ascii="仿宋_GB2312" w:hAnsi="仿宋_GB2312" w:eastAsia="仿宋_GB2312" w:cs="仿宋_GB2312"/>
          <w:sz w:val="32"/>
          <w:szCs w:val="32"/>
          <w:highlight w:val="none"/>
          <w:lang w:eastAsia="zh-CN"/>
        </w:rPr>
        <w:t>公用经费总数不得超过依据公益类事业单位综合预算定额标准计算的公用经费总数。</w:t>
      </w:r>
    </w:p>
    <w:p w14:paraId="737E6BC9">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）其他运转类项目</w:t>
      </w:r>
    </w:p>
    <w:p w14:paraId="6E3F715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eastAsia="zh-CN"/>
        </w:rPr>
        <w:t>其他运转类项目主要以各类大型专用资产等为计算对象，保障单位管理的大型公用设施、大型专用设备、专业信息系统运行维护等方面的需要。其他运转类新增项目应当严格履行立项审批、投资评审、资产配置等手续。</w:t>
      </w:r>
    </w:p>
    <w:p w14:paraId="45171878">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3.特定目标类项目支出预算</w:t>
      </w:r>
    </w:p>
    <w:p w14:paraId="08687B8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“一上”时，</w:t>
      </w:r>
      <w:r>
        <w:rPr>
          <w:rFonts w:hint="eastAsia" w:ascii="仿宋_GB2312" w:hAnsi="仿宋_GB2312" w:eastAsia="仿宋_GB2312" w:cs="仿宋_GB2312"/>
          <w:b/>
          <w:sz w:val="32"/>
          <w:szCs w:val="32"/>
          <w:lang w:eastAsia="zh-CN"/>
        </w:rPr>
        <w:t>一是</w:t>
      </w:r>
      <w:r>
        <w:rPr>
          <w:rFonts w:hint="eastAsia" w:ascii="仿宋_GB2312" w:hAnsi="仿宋_GB2312" w:eastAsia="仿宋_GB2312" w:cs="仿宋_GB2312"/>
          <w:sz w:val="32"/>
          <w:szCs w:val="32"/>
          <w:lang w:eastAsia="zh-CN"/>
        </w:rPr>
        <w:t>各部门应根据市财政局审核意见，规范设置一级项目。</w:t>
      </w:r>
      <w:r>
        <w:rPr>
          <w:rFonts w:hint="eastAsia" w:ascii="仿宋_GB2312" w:hAnsi="仿宋_GB2312" w:eastAsia="仿宋_GB2312" w:cs="仿宋_GB2312"/>
          <w:b/>
          <w:sz w:val="32"/>
          <w:szCs w:val="32"/>
          <w:lang w:eastAsia="zh-CN"/>
        </w:rPr>
        <w:t>二是</w:t>
      </w:r>
      <w:r>
        <w:rPr>
          <w:rFonts w:hint="eastAsia" w:ascii="仿宋_GB2312" w:hAnsi="仿宋_GB2312" w:eastAsia="仿宋_GB2312" w:cs="仿宋_GB2312"/>
          <w:sz w:val="32"/>
          <w:szCs w:val="32"/>
          <w:lang w:eastAsia="zh-CN"/>
        </w:rPr>
        <w:t>做实做细二级项目。预算单位应按履行职能开展的相对独立的活动设置部门预算支出二级项目（含本级财力安排和上级转移支付资金安排的本级项目），纳入项目库的二级项目必须有充分的立项依据、明确的实施期限、合理的预算需求和绩效目标等。</w:t>
      </w:r>
      <w:r>
        <w:rPr>
          <w:rFonts w:hint="eastAsia" w:ascii="仿宋_GB2312" w:hAnsi="仿宋_GB2312" w:eastAsia="仿宋_GB2312" w:cs="仿宋_GB2312"/>
          <w:b/>
          <w:sz w:val="32"/>
          <w:szCs w:val="32"/>
          <w:u w:val="none"/>
          <w:lang w:eastAsia="zh-CN"/>
        </w:rPr>
        <w:t>三是</w:t>
      </w:r>
      <w:r>
        <w:rPr>
          <w:rFonts w:hint="eastAsia" w:ascii="仿宋_GB2312" w:hAnsi="仿宋_GB2312" w:eastAsia="仿宋_GB2312" w:cs="仿宋_GB2312"/>
          <w:sz w:val="32"/>
          <w:szCs w:val="32"/>
          <w:u w:val="none"/>
          <w:lang w:eastAsia="zh-CN"/>
        </w:rPr>
        <w:t>各预算单位应全面清理</w:t>
      </w:r>
      <w:r>
        <w:rPr>
          <w:rFonts w:hint="eastAsia" w:ascii="仿宋_GB2312" w:hAnsi="仿宋_GB2312" w:eastAsia="仿宋_GB2312" w:cs="仿宋_GB2312"/>
          <w:color w:val="auto"/>
          <w:sz w:val="32"/>
          <w:szCs w:val="32"/>
          <w:highlight w:val="none"/>
          <w:u w:val="none"/>
          <w:lang w:eastAsia="zh-CN"/>
        </w:rPr>
        <w:t>202</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年度项目，对执行到期、交叉重复、低效无效的及时退出；对超出财政承受能力、支出责任划分不清晰的支出政策调整优化。</w:t>
      </w:r>
      <w:r>
        <w:rPr>
          <w:rFonts w:hint="eastAsia" w:ascii="仿宋_GB2312" w:hAnsi="仿宋_GB2312" w:eastAsia="仿宋_GB2312" w:cs="仿宋_GB2312"/>
          <w:b/>
          <w:sz w:val="32"/>
          <w:szCs w:val="32"/>
          <w:lang w:eastAsia="zh-CN"/>
        </w:rPr>
        <w:t>四是</w:t>
      </w:r>
      <w:r>
        <w:rPr>
          <w:rFonts w:hint="eastAsia" w:ascii="仿宋_GB2312" w:hAnsi="仿宋_GB2312" w:eastAsia="仿宋_GB2312" w:cs="仿宋_GB2312"/>
          <w:sz w:val="32"/>
          <w:szCs w:val="32"/>
          <w:lang w:eastAsia="zh-CN"/>
        </w:rPr>
        <w:t>根据入库项目的轻重缓急确定分年度实施计划，并以此为基础申报预算，未入库项目不得申请预算资金。</w:t>
      </w:r>
    </w:p>
    <w:p w14:paraId="3833D324">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eastAsia="zh-CN"/>
        </w:rPr>
        <w:t>“二上”时，各预算单位在预算控制数内，统筹安排特定目标类项目二级项目支出预算，保障落实重点政策的经费需要，编制部门预算草案。各预算单位应主动提高年初预算到位率，支出必须落实到具体执行单位和具体支出项目，每个项目都应当细化支出经济科目，准确完整编制政府采购预算表、资产配置预算表、</w:t>
      </w:r>
      <w:r>
        <w:rPr>
          <w:rFonts w:hint="eastAsia" w:ascii="仿宋_GB2312" w:hAnsi="仿宋_GB2312" w:eastAsia="仿宋_GB2312" w:cs="仿宋_GB2312"/>
          <w:sz w:val="32"/>
          <w:szCs w:val="32"/>
          <w:highlight w:val="none"/>
          <w:lang w:eastAsia="zh-CN"/>
        </w:rPr>
        <w:t>政府购买服务表等。所有纳入预算的</w:t>
      </w:r>
      <w:r>
        <w:rPr>
          <w:rFonts w:hint="eastAsia" w:ascii="仿宋_GB2312" w:hAnsi="仿宋_GB2312" w:eastAsia="仿宋_GB2312" w:cs="仿宋_GB2312"/>
          <w:color w:val="auto"/>
          <w:sz w:val="32"/>
          <w:szCs w:val="32"/>
          <w:highlight w:val="none"/>
          <w:lang w:eastAsia="zh-CN"/>
        </w:rPr>
        <w:t>项目必须从项目库选取。</w:t>
      </w:r>
    </w:p>
    <w:p w14:paraId="200ED784">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强化项目基础管理</w:t>
      </w:r>
    </w:p>
    <w:p w14:paraId="07648740">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所有其他运转类项目和特定目标类项目，必须填写完整的项目绩效目标申报文本。项目支出绩效目标申报表应当作为项目入库审核的必备前置条件。项目绩效目标申报文本，应完整准确填报项目相关要素和信息，文本内容应与预算管理一体化系统项目库填报内容一致；应细化项目支出明细测算情况，明确测算依据及相关支出标准，暂无可适用的法定或固定标准的，由部门制定暂定标准，项目支出明细测算情况作为审核项目入库的重要参考，测算不合理的将相应核减项目金额。应详细填报绩效目标和绩效指标，预算管理一体化系统项目库中填报的项目绩效目标和绩效指标应与项目支出绩效目标申报表内容保持一致。本级财力安排的项目和上级转移支付资金安排的本级项目，都应设置绩效目标。各部门（单位）应依据上级转移支付文件中设置的整体绩效目标、区域绩效目标或项目绩效目标的情况，合理设置上级转移支付资金安排的本级项目的绩效目标。</w:t>
      </w:r>
    </w:p>
    <w:p w14:paraId="25D9FF7D">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5.加强预算项目事前绩效评估和项目评审管理</w:t>
      </w:r>
    </w:p>
    <w:p w14:paraId="37AD2D13">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健全项</w:t>
      </w:r>
      <w:r>
        <w:rPr>
          <w:rFonts w:hint="eastAsia" w:ascii="仿宋_GB2312" w:hAnsi="仿宋_GB2312" w:eastAsia="仿宋_GB2312" w:cs="仿宋_GB2312"/>
          <w:sz w:val="32"/>
          <w:szCs w:val="32"/>
          <w:lang w:val="en-US" w:eastAsia="zh-CN"/>
        </w:rPr>
        <w:t>目</w:t>
      </w:r>
      <w:r>
        <w:rPr>
          <w:rFonts w:hint="eastAsia" w:ascii="仿宋_GB2312" w:hAnsi="仿宋_GB2312" w:eastAsia="仿宋_GB2312" w:cs="仿宋_GB2312"/>
          <w:sz w:val="32"/>
          <w:szCs w:val="32"/>
        </w:rPr>
        <w:t>入库评估、评审机制。所有其他运转类和特定目标类项目入库必须经财政组织的绩效目标评审通过。按规定开展事前绩效评估，将事前绩效评估作为项目入库的前置条件</w:t>
      </w:r>
      <w:r>
        <w:rPr>
          <w:rFonts w:hint="eastAsia" w:ascii="仿宋_GB2312" w:hAnsi="仿宋_GB2312" w:eastAsia="仿宋_GB2312" w:cs="仿宋_GB2312"/>
          <w:b w:val="0"/>
          <w:bCs w:val="0"/>
          <w:color w:val="auto"/>
          <w:sz w:val="32"/>
          <w:szCs w:val="32"/>
          <w:u w:val="none"/>
          <w:lang w:val="en-US" w:eastAsia="zh-CN"/>
        </w:rPr>
        <w:t>。</w:t>
      </w:r>
    </w:p>
    <w:p w14:paraId="1C29A461">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u w:val="none"/>
          <w:lang w:val="en-US" w:eastAsia="zh-CN"/>
          <w14:textFill>
            <w14:solidFill>
              <w14:schemeClr w14:val="tx1"/>
            </w14:solidFill>
          </w14:textFill>
        </w:rPr>
        <w:t>（三）其他事项</w:t>
      </w:r>
    </w:p>
    <w:p w14:paraId="7AEF7708">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u w:val="double"/>
          <w:lang w:eastAsia="zh-CN"/>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.落实预算编制主体责任。</w:t>
      </w:r>
      <w:r>
        <w:rPr>
          <w:rFonts w:hint="eastAsia" w:ascii="仿宋_GB2312" w:hAnsi="仿宋_GB2312" w:eastAsia="仿宋_GB2312" w:cs="仿宋_GB2312"/>
          <w:sz w:val="32"/>
          <w:szCs w:val="32"/>
          <w:u w:val="none"/>
          <w:lang w:eastAsia="zh-CN"/>
        </w:rPr>
        <w:t>强化部门和单位预算管理主体责任，部门和单位要对预算完整性、规范性、真实性以及执行结果负责。完善预算决策机制和</w:t>
      </w:r>
      <w:r>
        <w:rPr>
          <w:rFonts w:hint="eastAsia" w:ascii="仿宋_GB2312" w:hAnsi="仿宋_GB2312" w:eastAsia="仿宋_GB2312" w:cs="仿宋_GB2312"/>
          <w:sz w:val="32"/>
          <w:szCs w:val="32"/>
          <w:lang w:eastAsia="zh-CN"/>
        </w:rPr>
        <w:t>程序，各部门预算草案应当报本部门党组（党委）审议。严格落实保密要求，部门在编写编制说明、项目申请表和绩效目标表时不得引用涉密文件；所有涉密文本均要以纸质文件通过保密渠道专项报送，不得通过预算管理一体化系统等网络传输，不得作为普通文件附件。为提高预算编制质量，市财政局将预算编报的准确性、及时性、规范性等作为预算安排的参考因素。</w:t>
      </w:r>
    </w:p>
    <w:p w14:paraId="4D4E98BF">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sz w:val="32"/>
          <w:szCs w:val="32"/>
          <w:lang w:val="en-US" w:eastAsia="zh-CN"/>
        </w:rPr>
        <w:t>2.编制“三公”经费支出。</w:t>
      </w:r>
      <w:r>
        <w:rPr>
          <w:rFonts w:hint="eastAsia" w:ascii="仿宋_GB2312" w:hAnsi="仿宋_GB2312" w:eastAsia="仿宋_GB2312" w:cs="仿宋_GB2312"/>
          <w:sz w:val="32"/>
          <w:szCs w:val="32"/>
          <w:lang w:val="en-US" w:eastAsia="zh-CN"/>
        </w:rPr>
        <w:t>各部门（单位）应当建立健全“三公”经费审核机制，加强对有关支出必要性、合理性审核，严格按照有关规定和支出经济分类口径，认真编制“三公”经费预算，严禁超标准、超范围安排预算。财政拨款“三公”经费支出纳入财政限额管理，非财政拨款“三公”经费支出由各部门履行管理主体责任，从严控制规模，</w:t>
      </w:r>
      <w:r>
        <w:rPr>
          <w:rFonts w:hint="eastAsia" w:ascii="仿宋_GB2312" w:hAnsi="仿宋_GB2312" w:eastAsia="仿宋_GB2312" w:cs="仿宋_GB2312"/>
          <w:color w:val="auto"/>
          <w:sz w:val="32"/>
          <w:szCs w:val="32"/>
          <w:u w:val="none"/>
          <w:lang w:val="en-US" w:eastAsia="zh-CN"/>
        </w:rPr>
        <w:t>行政单位和参公事业单位不得使用非财政拨款安排因公出国（境）费。</w:t>
      </w:r>
    </w:p>
    <w:p w14:paraId="0BA50EFF">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sz w:val="32"/>
          <w:szCs w:val="32"/>
          <w:u w:val="none"/>
          <w:lang w:val="en-US" w:eastAsia="zh-CN"/>
        </w:rPr>
        <w:t>3.</w:t>
      </w:r>
      <w:r>
        <w:rPr>
          <w:rFonts w:hint="eastAsia" w:ascii="仿宋_GB2312" w:hAnsi="仿宋_GB2312" w:eastAsia="仿宋_GB2312" w:cs="仿宋_GB2312"/>
          <w:b/>
          <w:bCs/>
          <w:sz w:val="32"/>
          <w:szCs w:val="32"/>
          <w:u w:val="none"/>
          <w:lang w:eastAsia="zh-CN"/>
        </w:rPr>
        <w:t>严格规范编外人员管理。</w:t>
      </w:r>
      <w:r>
        <w:rPr>
          <w:rFonts w:hint="eastAsia" w:ascii="仿宋_GB2312" w:hAnsi="仿宋_GB2312" w:eastAsia="仿宋_GB2312" w:cs="仿宋_GB2312"/>
          <w:sz w:val="32"/>
          <w:szCs w:val="32"/>
          <w:lang w:eastAsia="zh-CN"/>
        </w:rPr>
        <w:t>党政机关、全额拨款事业单位要严格遵守相关规定，严格控制编外人员数量，原则上不得新增编外人员数量；不得擅自增加编外人员经费，不得增加编外人员支出预算规模；公益二类等事业单位使用财政资金聘用编外人员的，参照管理；劳务派遣人员工资或劳务费等不得编入人员类项目预算。严格控制编外人员使用范围，不得与编内人员混岗使用，不得从事单位主责主业、代替编内人员履职，严格限定用于执法辅助、普通辅助、专业技术、后勤服务等技术性辅助性工作</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eastAsia="zh-CN"/>
        </w:rPr>
        <w:t>报送部门预算编制资料时，各预算单位应如实提供财政供养编外人员相关信息，反映人员具体状况，但不作为财政保障的依据。</w:t>
      </w:r>
    </w:p>
    <w:p w14:paraId="163430FF">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sz w:val="32"/>
          <w:szCs w:val="32"/>
          <w:highlight w:val="none"/>
          <w:lang w:val="en-US" w:eastAsia="zh-CN"/>
        </w:rPr>
        <w:t>4.编制政府采购预算。</w:t>
      </w:r>
      <w:r>
        <w:rPr>
          <w:rFonts w:hint="eastAsia" w:ascii="仿宋_GB2312" w:hAnsi="仿宋_GB2312" w:eastAsia="仿宋_GB2312" w:cs="仿宋_GB2312"/>
          <w:sz w:val="32"/>
          <w:szCs w:val="32"/>
          <w:highlight w:val="none"/>
          <w:lang w:eastAsia="zh-CN"/>
        </w:rPr>
        <w:t>各预算单位使用财政性资金采购集中采购目录以内或者采购限额标准以上的货物、工程和服务，必须按规定编制政府采购预算。同一年度同一预算项目下的同一品目或者类别的单项或批量采购金额达到分散采购限额标准的，不得化整为零规避政府采购。为保障部门正常运转、履行工作职能、提供公共服务，须在党媒、党报、党刊等特定媒体发布的广告宣传及水、电、天然气、土地等项目，以及政府集中采购目录以外且采购限额标准以下的项目，不编入年度政府采购预算，不纳入政府采购管理。各主管部门应当组织评估本部门及所属单位政府采购项目，统筹制定面向中小企业预留采购份额的具体方案</w:t>
      </w:r>
      <w:r>
        <w:rPr>
          <w:rFonts w:hint="eastAsia" w:ascii="仿宋_GB2312" w:hAnsi="仿宋_GB2312" w:eastAsia="仿宋_GB2312" w:cs="仿宋_GB2312"/>
          <w:color w:val="auto"/>
          <w:sz w:val="32"/>
          <w:szCs w:val="32"/>
          <w:highlight w:val="none"/>
          <w:lang w:eastAsia="zh-CN"/>
        </w:rPr>
        <w:t>，在采购预算中单独列示，具体预留份额按照财政部门有关规定执行。各预算单位应随部门预算公开同步在“中国湖北政府采购网”集中公开本年度政府采购意向信息。各预算单位申报政府采购计划，原则上应当选择对应的年度政府采购预算指标，对于年初部门预算已明确的项目，应当于当年6月30日前完成政府采购计划申报。</w:t>
      </w:r>
    </w:p>
    <w:p w14:paraId="05A1FF4C">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outlineLvl w:val="9"/>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bCs/>
          <w:sz w:val="32"/>
          <w:szCs w:val="32"/>
          <w:highlight w:val="none"/>
          <w:lang w:val="en-US" w:eastAsia="zh-CN"/>
        </w:rPr>
        <w:t>5.编制政府购买服务预算。</w:t>
      </w:r>
      <w:r>
        <w:rPr>
          <w:rFonts w:hint="eastAsia" w:ascii="仿宋_GB2312" w:hAnsi="仿宋_GB2312" w:eastAsia="仿宋_GB2312" w:cs="仿宋_GB2312"/>
          <w:b w:val="0"/>
          <w:bCs w:val="0"/>
          <w:sz w:val="32"/>
          <w:szCs w:val="32"/>
          <w:highlight w:val="none"/>
          <w:lang w:val="en-US" w:eastAsia="zh-CN"/>
        </w:rPr>
        <w:t>根据《政府购买服务管理办法》（财政部令第102号）规定，符合政府购买服务购买主体资格的国家机关、党的机关、政协机关、民主党派机关、承担行政职能的事业单位和使用行政编制的群团组织机关，使用财政性资金向社会力量购买服务的项目，应同步编制政府购买服务项</w:t>
      </w:r>
      <w:r>
        <w:rPr>
          <w:rFonts w:hint="eastAsia" w:ascii="仿宋_GB2312" w:hAnsi="仿宋_GB2312" w:eastAsia="仿宋_GB2312" w:cs="仿宋_GB2312"/>
          <w:b w:val="0"/>
          <w:bCs w:val="0"/>
          <w:sz w:val="32"/>
          <w:szCs w:val="32"/>
          <w:highlight w:val="none"/>
          <w:u w:val="none"/>
          <w:lang w:val="en-US" w:eastAsia="zh-CN"/>
        </w:rPr>
        <w:t>目预算。政府购买服务主体不得借政府购买服务名义变相用工，不得将人员招、聘用，以劳务派遣方式用工，以及设置公益性岗位等事项纳入政府购买服务范围。</w:t>
      </w:r>
    </w:p>
    <w:p w14:paraId="661D970A">
      <w:pPr>
        <w:pStyle w:val="9"/>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6.国有资本经营预算、社会保障基金预算编制要求另行通知。</w:t>
      </w:r>
    </w:p>
    <w:p w14:paraId="6E55E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五、202</w:t>
      </w:r>
      <w:r>
        <w:rPr>
          <w:rFonts w:hint="eastAsia" w:ascii="黑体" w:hAnsi="黑体" w:eastAsia="黑体" w:cs="黑体"/>
          <w:sz w:val="32"/>
          <w:szCs w:val="32"/>
          <w:lang w:val="en-US" w:eastAsia="zh-CN"/>
        </w:rPr>
        <w:t>6</w:t>
      </w:r>
      <w:r>
        <w:rPr>
          <w:rFonts w:hint="eastAsia" w:ascii="黑体" w:hAnsi="黑体" w:eastAsia="黑体" w:cs="黑体"/>
          <w:sz w:val="32"/>
          <w:szCs w:val="32"/>
        </w:rPr>
        <w:t>年部门预算编制口径</w:t>
      </w:r>
    </w:p>
    <w:p w14:paraId="010FD3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（一）基础数据的填报与核定</w:t>
      </w:r>
    </w:p>
    <w:p w14:paraId="2E4EDFEC">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楷体_GB2312" w:hAnsi="楷体_GB2312" w:eastAsia="楷体_GB2312" w:cs="楷体_GB2312"/>
          <w:b/>
          <w:bCs/>
          <w:color w:val="000000"/>
          <w:sz w:val="32"/>
          <w:szCs w:val="32"/>
          <w:highlight w:val="none"/>
          <w:u w:val="none"/>
          <w:lang w:val="en-US" w:eastAsia="zh-CN"/>
        </w:rPr>
        <w:t>1.单位基础信息</w:t>
      </w:r>
    </w:p>
    <w:p w14:paraId="2F13C43C">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lang w:val="en-US" w:eastAsia="zh-CN"/>
        </w:rPr>
        <w:t>单位</w:t>
      </w:r>
      <w:r>
        <w:rPr>
          <w:rFonts w:hint="eastAsia" w:ascii="仿宋_GB2312" w:hAnsi="仿宋_GB2312" w:eastAsia="仿宋_GB2312" w:cs="仿宋_GB2312"/>
          <w:color w:val="000000"/>
          <w:sz w:val="32"/>
          <w:szCs w:val="32"/>
          <w:lang w:val="en-US" w:eastAsia="zh-CN"/>
        </w:rPr>
        <w:t>设立以市委、市政府及市编制部门下发的文件为基础依据。</w:t>
      </w:r>
      <w:r>
        <w:rPr>
          <w:rFonts w:hint="eastAsia" w:ascii="仿宋_GB2312" w:hAnsi="仿宋_GB2312" w:eastAsia="仿宋_GB2312" w:cs="仿宋_GB2312"/>
          <w:b/>
          <w:bCs/>
          <w:color w:val="000000"/>
          <w:sz w:val="32"/>
          <w:szCs w:val="32"/>
          <w:lang w:val="en-US" w:eastAsia="zh-CN"/>
        </w:rPr>
        <w:t>预算单位</w:t>
      </w:r>
      <w:r>
        <w:rPr>
          <w:rFonts w:hint="eastAsia" w:ascii="仿宋_GB2312" w:hAnsi="仿宋_GB2312" w:eastAsia="仿宋_GB2312" w:cs="仿宋_GB2312"/>
          <w:color w:val="000000"/>
          <w:sz w:val="32"/>
          <w:szCs w:val="32"/>
          <w:lang w:val="en-US" w:eastAsia="zh-CN"/>
        </w:rPr>
        <w:t>设立以单位是否进行独立或集中财务核算，并经财政部门批准为依据。预算单位若包含其他下属非独立预算单位的，单位名称、性质、级别等按主管单位填报，单位编制数按所属单位（含本级）各类编制汇总数填报。</w:t>
      </w:r>
    </w:p>
    <w:p w14:paraId="67374AFC">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楷体_GB2312" w:hAnsi="楷体_GB2312" w:eastAsia="楷体_GB2312" w:cs="楷体_GB2312"/>
          <w:b/>
          <w:bCs/>
          <w:color w:val="000000"/>
          <w:sz w:val="32"/>
          <w:szCs w:val="32"/>
          <w:highlight w:val="none"/>
          <w:u w:val="none"/>
          <w:lang w:val="en-US" w:eastAsia="zh-CN"/>
        </w:rPr>
        <w:t>2.人员基础信息</w:t>
      </w:r>
    </w:p>
    <w:p w14:paraId="646B1A4B">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color w:val="000000"/>
          <w:sz w:val="32"/>
          <w:szCs w:val="32"/>
          <w:lang w:val="en-US" w:eastAsia="zh-CN"/>
        </w:rPr>
        <w:t>在职人员。</w:t>
      </w:r>
      <w:r>
        <w:rPr>
          <w:rFonts w:hint="eastAsia" w:ascii="仿宋_GB2312" w:hAnsi="仿宋_GB2312" w:eastAsia="仿宋_GB2312" w:cs="仿宋_GB2312"/>
          <w:color w:val="000000"/>
          <w:sz w:val="32"/>
          <w:szCs w:val="32"/>
          <w:lang w:val="en-US" w:eastAsia="zh-CN"/>
        </w:rPr>
        <w:t>以单位实有在职在岗人员为依据，</w:t>
      </w:r>
      <w:r>
        <w:rPr>
          <w:rFonts w:hint="eastAsia" w:ascii="仿宋_GB2312" w:hAnsi="仿宋_GB2312" w:eastAsia="仿宋_GB2312" w:cs="仿宋_GB2312"/>
          <w:color w:val="000000"/>
          <w:sz w:val="32"/>
          <w:szCs w:val="32"/>
          <w:highlight w:val="none"/>
          <w:lang w:val="en-US" w:eastAsia="zh-CN"/>
        </w:rPr>
        <w:t>包括离岗退养人员和领导职务改任非领导职务人员。</w:t>
      </w:r>
      <w:r>
        <w:rPr>
          <w:rFonts w:hint="eastAsia" w:ascii="仿宋_GB2312" w:hAnsi="仿宋_GB2312" w:eastAsia="仿宋_GB2312" w:cs="仿宋_GB2312"/>
          <w:color w:val="000000"/>
          <w:sz w:val="32"/>
          <w:szCs w:val="32"/>
          <w:lang w:val="en-US" w:eastAsia="zh-CN"/>
        </w:rPr>
        <w:t>编制与岗位不一致的，按编制所在单位填报人员基础信息。</w:t>
      </w:r>
    </w:p>
    <w:p w14:paraId="3BA3C251">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000000"/>
          <w:sz w:val="32"/>
          <w:szCs w:val="32"/>
          <w:lang w:val="en-US" w:eastAsia="zh-CN"/>
        </w:rPr>
        <w:t>离退休人员。</w:t>
      </w:r>
      <w:r>
        <w:rPr>
          <w:rFonts w:hint="eastAsia" w:ascii="仿宋_GB2312" w:hAnsi="仿宋_GB2312" w:eastAsia="仿宋_GB2312" w:cs="仿宋_GB2312"/>
          <w:color w:val="000000"/>
          <w:sz w:val="32"/>
          <w:szCs w:val="32"/>
          <w:lang w:val="en-US" w:eastAsia="zh-CN"/>
        </w:rPr>
        <w:t>以单位实有离休、退休（职）人员为依据。</w:t>
      </w:r>
    </w:p>
    <w:p w14:paraId="06FC2063">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000000"/>
          <w:sz w:val="32"/>
          <w:szCs w:val="32"/>
          <w:lang w:val="en-US" w:eastAsia="zh-CN"/>
        </w:rPr>
        <w:t>其他人员。</w:t>
      </w:r>
      <w:r>
        <w:rPr>
          <w:rFonts w:hint="eastAsia" w:ascii="仿宋_GB2312" w:hAnsi="仿宋_GB2312" w:eastAsia="仿宋_GB2312" w:cs="仿宋_GB2312"/>
          <w:color w:val="000000"/>
          <w:sz w:val="32"/>
          <w:szCs w:val="32"/>
          <w:lang w:val="en-US" w:eastAsia="zh-CN"/>
        </w:rPr>
        <w:t>经</w:t>
      </w:r>
      <w:r>
        <w:rPr>
          <w:rFonts w:hint="eastAsia" w:ascii="仿宋_GB2312" w:hAnsi="仿宋_GB2312" w:eastAsia="仿宋_GB2312" w:cs="仿宋_GB2312"/>
          <w:color w:val="000000"/>
          <w:sz w:val="32"/>
          <w:szCs w:val="32"/>
          <w:highlight w:val="none"/>
          <w:lang w:val="en-US" w:eastAsia="zh-CN"/>
        </w:rPr>
        <w:t>市委、市政府</w:t>
      </w:r>
      <w:r>
        <w:rPr>
          <w:rFonts w:hint="eastAsia" w:ascii="仿宋_GB2312" w:hAnsi="仿宋_GB2312" w:eastAsia="仿宋_GB2312" w:cs="仿宋_GB2312"/>
          <w:color w:val="000000"/>
          <w:sz w:val="32"/>
          <w:szCs w:val="32"/>
          <w:lang w:val="en-US" w:eastAsia="zh-CN"/>
        </w:rPr>
        <w:t>审批同意且市人社部门审批工资的编外长聘人员、遗属人员等为依据，不含以钱养事、公益性岗位、</w:t>
      </w:r>
      <w:r>
        <w:rPr>
          <w:rFonts w:hint="eastAsia" w:ascii="仿宋_GB2312" w:hAnsi="仿宋_GB2312" w:eastAsia="仿宋_GB2312" w:cs="仿宋_GB2312"/>
          <w:color w:val="000000"/>
          <w:sz w:val="32"/>
          <w:szCs w:val="32"/>
          <w:highlight w:val="none"/>
          <w:lang w:val="en-US" w:eastAsia="zh-CN"/>
        </w:rPr>
        <w:t>“三支一扶”、</w:t>
      </w:r>
      <w:r>
        <w:rPr>
          <w:rFonts w:hint="eastAsia" w:ascii="仿宋_GB2312" w:hAnsi="仿宋_GB2312" w:eastAsia="仿宋_GB2312" w:cs="仿宋_GB2312"/>
          <w:color w:val="000000"/>
          <w:sz w:val="32"/>
          <w:szCs w:val="32"/>
          <w:lang w:val="en-US" w:eastAsia="zh-CN"/>
        </w:rPr>
        <w:t>政府雇员等其他纳入特定项目类管理的人员。</w:t>
      </w:r>
    </w:p>
    <w:p w14:paraId="4C620433">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000000"/>
          <w:sz w:val="32"/>
          <w:szCs w:val="32"/>
          <w:lang w:val="en-US" w:eastAsia="zh-CN"/>
        </w:rPr>
        <w:t>其他事项。</w:t>
      </w:r>
      <w:r>
        <w:rPr>
          <w:rFonts w:hint="eastAsia" w:ascii="仿宋_GB2312" w:hAnsi="仿宋_GB2312" w:eastAsia="仿宋_GB2312" w:cs="仿宋_GB2312"/>
          <w:color w:val="000000"/>
          <w:sz w:val="32"/>
          <w:szCs w:val="32"/>
          <w:u w:val="none"/>
          <w:lang w:val="en-US" w:eastAsia="zh-CN"/>
        </w:rPr>
        <w:t>以上人员核定截止时间为“一下”控制数下达之前。</w:t>
      </w:r>
      <w:r>
        <w:rPr>
          <w:rFonts w:hint="eastAsia" w:ascii="仿宋_GB2312" w:hAnsi="仿宋_GB2312" w:eastAsia="仿宋_GB2312" w:cs="仿宋_GB2312"/>
          <w:color w:val="000000"/>
          <w:sz w:val="32"/>
          <w:szCs w:val="32"/>
          <w:lang w:val="en-US" w:eastAsia="zh-CN"/>
        </w:rPr>
        <w:t>“一下”控制数下达之后，市财政局原则上不再受理基本支出控制数调整的申请，</w:t>
      </w:r>
      <w:r>
        <w:rPr>
          <w:rFonts w:hint="eastAsia" w:ascii="仿宋_GB2312" w:hAnsi="仿宋_GB2312" w:eastAsia="仿宋_GB2312" w:cs="仿宋_GB2312"/>
          <w:color w:val="000000"/>
          <w:sz w:val="32"/>
          <w:szCs w:val="32"/>
          <w:u w:val="none"/>
          <w:lang w:val="en-US" w:eastAsia="zh-CN"/>
        </w:rPr>
        <w:t>如有人员变动情况将于</w:t>
      </w:r>
      <w:r>
        <w:rPr>
          <w:rFonts w:hint="eastAsia" w:ascii="仿宋_GB2312" w:hAnsi="仿宋_GB2312" w:eastAsia="仿宋_GB2312" w:cs="仿宋_GB2312"/>
          <w:color w:val="000000"/>
          <w:sz w:val="32"/>
          <w:szCs w:val="32"/>
          <w:highlight w:val="none"/>
          <w:u w:val="none"/>
          <w:lang w:val="en-US" w:eastAsia="zh-CN"/>
        </w:rPr>
        <w:t>2026年度增资调资时，集中办理</w:t>
      </w:r>
      <w:r>
        <w:rPr>
          <w:rFonts w:hint="eastAsia" w:ascii="仿宋_GB2312" w:hAnsi="仿宋_GB2312" w:eastAsia="仿宋_GB2312" w:cs="仿宋_GB2312"/>
          <w:color w:val="000000"/>
          <w:sz w:val="32"/>
          <w:szCs w:val="32"/>
          <w:u w:val="none"/>
          <w:lang w:val="en-US" w:eastAsia="zh-CN"/>
        </w:rPr>
        <w:t>相关预算调整手续。</w:t>
      </w:r>
    </w:p>
    <w:p w14:paraId="7024232A">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楷体_GB2312" w:hAnsi="楷体_GB2312" w:eastAsia="楷体_GB2312" w:cs="楷体_GB2312"/>
          <w:b/>
          <w:bCs/>
          <w:color w:val="000000"/>
          <w:sz w:val="32"/>
          <w:szCs w:val="32"/>
          <w:highlight w:val="none"/>
          <w:u w:val="none"/>
          <w:lang w:val="en-US" w:eastAsia="zh-CN"/>
        </w:rPr>
        <w:t>3.其他基础信息</w:t>
      </w:r>
    </w:p>
    <w:p w14:paraId="695B09AA">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color w:val="000000"/>
          <w:sz w:val="32"/>
          <w:szCs w:val="32"/>
          <w:lang w:val="en-US" w:eastAsia="zh-CN"/>
        </w:rPr>
        <w:t>学生人数。</w:t>
      </w:r>
      <w:r>
        <w:rPr>
          <w:rFonts w:hint="eastAsia" w:ascii="仿宋_GB2312" w:hAnsi="仿宋_GB2312" w:eastAsia="仿宋_GB2312" w:cs="仿宋_GB2312"/>
          <w:color w:val="000000"/>
          <w:sz w:val="32"/>
          <w:szCs w:val="32"/>
          <w:lang w:val="en-US" w:eastAsia="zh-CN"/>
        </w:rPr>
        <w:t>学生人数以当年秋季入学学生人数为准，包括在校（园）学生、寄宿制学校寄宿生、家庭困难学生、建档立卡学生。随班就读残疾学生人数以及不足90人的公立幼儿园和不足整百人义务教育学校补差人数以在册人员为依据。</w:t>
      </w:r>
    </w:p>
    <w:p w14:paraId="0DA207B5">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000000"/>
          <w:sz w:val="32"/>
          <w:szCs w:val="32"/>
          <w:lang w:val="en-US" w:eastAsia="zh-CN"/>
        </w:rPr>
        <w:t>其他人员。</w:t>
      </w:r>
      <w:r>
        <w:rPr>
          <w:rFonts w:hint="eastAsia" w:ascii="仿宋_GB2312" w:hAnsi="仿宋_GB2312" w:eastAsia="仿宋_GB2312" w:cs="仿宋_GB2312"/>
          <w:color w:val="000000"/>
          <w:sz w:val="32"/>
          <w:szCs w:val="32"/>
          <w:lang w:val="en-US" w:eastAsia="zh-CN"/>
        </w:rPr>
        <w:t>涉及人员经费或公用经费测算的其他人员，如乡镇中心学校管理人员、原核定代课教师人数、原核定退养民师人数、乡镇卫生院基本公卫人数、退休副县级人数、离退休党员、（代管）企业离休人员、基本医保实际缴费年限未满13年的退休人数等，按有关规定据实填报。</w:t>
      </w:r>
    </w:p>
    <w:p w14:paraId="173576F0">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000000"/>
          <w:sz w:val="32"/>
          <w:szCs w:val="32"/>
          <w:lang w:val="en-US" w:eastAsia="zh-CN"/>
        </w:rPr>
        <w:t>公务用车。</w:t>
      </w:r>
      <w:r>
        <w:rPr>
          <w:rFonts w:hint="eastAsia" w:ascii="仿宋_GB2312" w:hAnsi="仿宋_GB2312" w:eastAsia="仿宋_GB2312" w:cs="仿宋_GB2312"/>
          <w:color w:val="000000"/>
          <w:sz w:val="32"/>
          <w:szCs w:val="32"/>
          <w:lang w:val="en-US" w:eastAsia="zh-CN"/>
        </w:rPr>
        <w:t>公务用车制度改革后，按</w:t>
      </w:r>
      <w:r>
        <w:rPr>
          <w:rFonts w:hint="eastAsia" w:ascii="仿宋_GB2312" w:hAnsi="仿宋_GB2312" w:eastAsia="仿宋_GB2312" w:cs="仿宋_GB2312"/>
          <w:color w:val="auto"/>
          <w:sz w:val="32"/>
          <w:szCs w:val="32"/>
          <w:u w:val="none"/>
          <w:lang w:val="en-US" w:eastAsia="zh-CN"/>
        </w:rPr>
        <w:t>市公务用车制度改革领导小组办公室核定的各部门单位车辆保留</w:t>
      </w:r>
      <w:r>
        <w:rPr>
          <w:rFonts w:hint="eastAsia" w:ascii="仿宋_GB2312" w:hAnsi="仿宋_GB2312" w:eastAsia="仿宋_GB2312" w:cs="仿宋_GB2312"/>
          <w:color w:val="000000"/>
          <w:sz w:val="32"/>
          <w:szCs w:val="32"/>
          <w:lang w:val="en-US" w:eastAsia="zh-CN"/>
        </w:rPr>
        <w:t>数填报。</w:t>
      </w:r>
    </w:p>
    <w:p w14:paraId="52A056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（二）部门预算收入的编报</w:t>
      </w:r>
    </w:p>
    <w:p w14:paraId="0D68187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部门预算收入包括：财政拨款收</w:t>
      </w:r>
      <w:r>
        <w:rPr>
          <w:rFonts w:hint="eastAsia" w:ascii="仿宋_GB2312" w:hAnsi="仿宋_GB2312" w:eastAsia="仿宋_GB2312" w:cs="仿宋_GB2312"/>
          <w:color w:val="000000"/>
          <w:sz w:val="32"/>
          <w:szCs w:val="32"/>
          <w:u w:val="none"/>
          <w:lang w:val="en-US" w:eastAsia="zh-CN"/>
        </w:rPr>
        <w:t>入、财政专户管理资金收入（特指教育收费）、单位资金收入（包括事业收入、上级补助收入、附属单位上缴收入、事业单位经营收入、其他收入等）。预算单位收缴上解国库的非税收入不作</w:t>
      </w:r>
      <w:r>
        <w:rPr>
          <w:rFonts w:hint="eastAsia" w:ascii="仿宋_GB2312" w:hAnsi="仿宋_GB2312" w:eastAsia="仿宋_GB2312" w:cs="仿宋_GB2312"/>
          <w:color w:val="000000"/>
          <w:sz w:val="32"/>
          <w:szCs w:val="32"/>
          <w:lang w:val="en-US" w:eastAsia="zh-CN"/>
        </w:rPr>
        <w:t>为部门预算的收入项目。</w:t>
      </w:r>
    </w:p>
    <w:p w14:paraId="21207CF2">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楷体_GB2312" w:hAnsi="楷体_GB2312" w:eastAsia="楷体_GB2312" w:cs="楷体_GB2312"/>
          <w:b/>
          <w:bCs/>
          <w:color w:val="000000"/>
          <w:sz w:val="32"/>
          <w:szCs w:val="32"/>
          <w:highlight w:val="none"/>
          <w:u w:val="none"/>
          <w:lang w:val="en-US" w:eastAsia="zh-CN"/>
        </w:rPr>
        <w:t>1.财政拨款收入</w:t>
      </w:r>
    </w:p>
    <w:p w14:paraId="64581C6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color w:val="000000"/>
          <w:sz w:val="32"/>
          <w:szCs w:val="32"/>
          <w:lang w:val="en-US" w:eastAsia="zh-CN"/>
        </w:rPr>
        <w:t>财政拨款收入中来源于</w:t>
      </w:r>
      <w:r>
        <w:rPr>
          <w:rFonts w:hint="eastAsia" w:ascii="仿宋_GB2312" w:hAnsi="仿宋_GB2312" w:eastAsia="仿宋_GB2312" w:cs="仿宋_GB2312"/>
          <w:b/>
          <w:bCs/>
          <w:color w:val="000000"/>
          <w:sz w:val="32"/>
          <w:szCs w:val="32"/>
          <w:lang w:val="en-US" w:eastAsia="zh-CN"/>
        </w:rPr>
        <w:t>本级统筹财力</w:t>
      </w:r>
      <w:r>
        <w:rPr>
          <w:rFonts w:hint="eastAsia" w:ascii="仿宋_GB2312" w:hAnsi="仿宋_GB2312" w:eastAsia="仿宋_GB2312" w:cs="仿宋_GB2312"/>
          <w:color w:val="000000"/>
          <w:sz w:val="32"/>
          <w:szCs w:val="32"/>
          <w:lang w:val="en-US" w:eastAsia="zh-CN"/>
        </w:rPr>
        <w:t>安排的收入（含一般公共预算、政府性基金预算和国有资本经营预算），应当按照预算单位经终审后的二级项目（含人员类和公用经费类）测算数并结合单位及人员经费保障方式确定。</w:t>
      </w:r>
    </w:p>
    <w:p w14:paraId="4C67E15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财政全额保障单位的</w:t>
      </w:r>
      <w:r>
        <w:rPr>
          <w:rFonts w:hint="eastAsia" w:ascii="仿宋_GB2312" w:hAnsi="仿宋_GB2312" w:eastAsia="仿宋_GB2312" w:cs="仿宋_GB2312"/>
          <w:b/>
          <w:bCs/>
          <w:color w:val="000000"/>
          <w:sz w:val="32"/>
          <w:szCs w:val="32"/>
          <w:lang w:val="en-US" w:eastAsia="zh-CN"/>
        </w:rPr>
        <w:t>基本支出</w:t>
      </w:r>
      <w:r>
        <w:rPr>
          <w:rFonts w:hint="eastAsia" w:ascii="仿宋_GB2312" w:hAnsi="仿宋_GB2312" w:eastAsia="仿宋_GB2312" w:cs="仿宋_GB2312"/>
          <w:color w:val="000000"/>
          <w:sz w:val="32"/>
          <w:szCs w:val="32"/>
          <w:lang w:val="en-US" w:eastAsia="zh-CN"/>
        </w:rPr>
        <w:t>由财政拨款统筹安</w:t>
      </w:r>
      <w:r>
        <w:rPr>
          <w:rFonts w:hint="eastAsia" w:ascii="仿宋_GB2312" w:hAnsi="仿宋_GB2312" w:eastAsia="仿宋_GB2312" w:cs="仿宋_GB2312"/>
          <w:strike w:val="0"/>
          <w:dstrike w:val="0"/>
          <w:color w:val="000000"/>
          <w:sz w:val="32"/>
          <w:szCs w:val="32"/>
          <w:highlight w:val="none"/>
          <w:u w:val="none"/>
          <w:lang w:val="en-US" w:eastAsia="zh-CN"/>
        </w:rPr>
        <w:t>排，其中：高中以人社部门审批的基本工资、津贴补贴、绩效工资、定额补助人均1万元，工资附加部分涉及绩效工资的按核定基准线1倍进行计算，工资附加差额部分在学校非税收入安排；中专学校的“绩效奖金（工资）”及对应的工资附加应由非税收入安排，其他基本支出由财政拨款安排；幼儿园的“绩效奖金（工资）”及对应的工资附加由非税收入安排，其他基本支出由财政拨款安排。其他有单位资金的预算单位，除按规定安排项目支出外，其余单位资金应纳入预算统筹安排基本支出。</w:t>
      </w:r>
      <w:r>
        <w:rPr>
          <w:rFonts w:hint="eastAsia" w:ascii="仿宋_GB2312" w:hAnsi="仿宋_GB2312" w:eastAsia="仿宋_GB2312" w:cs="仿宋_GB2312"/>
          <w:color w:val="000000"/>
          <w:sz w:val="32"/>
          <w:szCs w:val="32"/>
          <w:lang w:val="en-US" w:eastAsia="zh-CN"/>
        </w:rPr>
        <w:t>财政全额保障单位的</w:t>
      </w:r>
      <w:r>
        <w:rPr>
          <w:rFonts w:hint="eastAsia" w:ascii="仿宋_GB2312" w:hAnsi="仿宋_GB2312" w:eastAsia="仿宋_GB2312" w:cs="仿宋_GB2312"/>
          <w:b/>
          <w:bCs/>
          <w:color w:val="000000"/>
          <w:sz w:val="32"/>
          <w:szCs w:val="32"/>
          <w:lang w:val="en-US" w:eastAsia="zh-CN"/>
        </w:rPr>
        <w:t>项目支出</w:t>
      </w:r>
      <w:r>
        <w:rPr>
          <w:rFonts w:hint="eastAsia" w:ascii="仿宋_GB2312" w:hAnsi="仿宋_GB2312" w:eastAsia="仿宋_GB2312" w:cs="仿宋_GB2312"/>
          <w:color w:val="000000"/>
          <w:sz w:val="32"/>
          <w:szCs w:val="32"/>
          <w:lang w:val="en-US" w:eastAsia="zh-CN"/>
        </w:rPr>
        <w:t>见本文“其他运转类项目支出编报”和“特定目标类项目支出编报”。</w:t>
      </w:r>
    </w:p>
    <w:p w14:paraId="429B8C8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bookmarkStart w:id="1" w:name="OLE_LINK1"/>
      <w:r>
        <w:rPr>
          <w:rFonts w:hint="eastAsia" w:ascii="仿宋_GB2312" w:hAnsi="仿宋_GB2312" w:eastAsia="仿宋_GB2312" w:cs="仿宋_GB2312"/>
          <w:color w:val="000000"/>
          <w:sz w:val="32"/>
          <w:szCs w:val="32"/>
          <w:lang w:val="en-US" w:eastAsia="zh-CN"/>
        </w:rPr>
        <w:t>财政差额补助单位</w:t>
      </w:r>
      <w:bookmarkEnd w:id="1"/>
      <w:r>
        <w:rPr>
          <w:rFonts w:hint="eastAsia" w:ascii="仿宋_GB2312" w:hAnsi="仿宋_GB2312" w:eastAsia="仿宋_GB2312" w:cs="仿宋_GB2312"/>
          <w:color w:val="000000"/>
          <w:sz w:val="32"/>
          <w:szCs w:val="32"/>
          <w:lang w:val="en-US" w:eastAsia="zh-CN"/>
        </w:rPr>
        <w:t>分别按下列标准计算基本支出：市人民医院、市中医院和市妇幼保健院差额编制人员，按编办核定的编制人数，在职人员基本支出按每人每年13000元计算定额补助，离休人员据实计算；乡镇卫生院按</w:t>
      </w:r>
      <w:r>
        <w:rPr>
          <w:rFonts w:hint="eastAsia" w:ascii="仿宋_GB2312" w:hAnsi="仿宋_GB2312" w:eastAsia="仿宋_GB2312" w:cs="仿宋_GB2312"/>
          <w:color w:val="000000"/>
          <w:sz w:val="32"/>
          <w:szCs w:val="32"/>
          <w:u w:val="none"/>
          <w:lang w:val="en-US" w:eastAsia="zh-CN"/>
        </w:rPr>
        <w:t>财政认可</w:t>
      </w:r>
      <w:r>
        <w:rPr>
          <w:rFonts w:hint="eastAsia" w:ascii="仿宋_GB2312" w:hAnsi="仿宋_GB2312" w:eastAsia="仿宋_GB2312" w:cs="仿宋_GB2312"/>
          <w:color w:val="000000"/>
          <w:sz w:val="32"/>
          <w:szCs w:val="32"/>
          <w:lang w:val="en-US" w:eastAsia="zh-CN"/>
        </w:rPr>
        <w:t>的供养人数，在职人员按每年基本工资、</w:t>
      </w:r>
      <w:r>
        <w:rPr>
          <w:rFonts w:hint="eastAsia" w:ascii="仿宋_GB2312" w:hAnsi="仿宋_GB2312" w:eastAsia="仿宋_GB2312" w:cs="仿宋_GB2312"/>
          <w:color w:val="000000"/>
          <w:sz w:val="32"/>
          <w:szCs w:val="32"/>
          <w:u w:val="none"/>
          <w:lang w:val="en-US" w:eastAsia="zh-CN"/>
        </w:rPr>
        <w:t>10%教护工资、</w:t>
      </w:r>
      <w:r>
        <w:rPr>
          <w:rFonts w:hint="eastAsia" w:ascii="仿宋_GB2312" w:hAnsi="仿宋_GB2312" w:eastAsia="仿宋_GB2312" w:cs="仿宋_GB2312"/>
          <w:color w:val="000000"/>
          <w:sz w:val="32"/>
          <w:szCs w:val="32"/>
          <w:lang w:val="en-US" w:eastAsia="zh-CN"/>
        </w:rPr>
        <w:t>60%绩效工资、乡镇工作补贴、养老保险金单位应负担部分的70%综合计算补助，乡镇卫生院基本公卫人员另加每人每年10000元，离休人员据实计算补助；市总工会按财政认可的供养人数，在职人员按每人每年13000元计算定额补助，另加单位应缴在职人员基本养老保险，退休人员按单位应负担的公务员医疗保险和统筹待遇补贴计算补助。定额补助单位的项目支出见本文“其他运转类项目支出编报”和“特定目标类项目支出编报”。</w:t>
      </w:r>
    </w:p>
    <w:p w14:paraId="0474154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原已核定教育系统代课教师和民师退养人员的工资，按</w:t>
      </w:r>
      <w:r>
        <w:rPr>
          <w:rFonts w:hint="eastAsia" w:ascii="仿宋_GB2312" w:hAnsi="仿宋_GB2312" w:eastAsia="仿宋_GB2312" w:cs="仿宋_GB2312"/>
          <w:color w:val="000000"/>
          <w:sz w:val="32"/>
          <w:szCs w:val="32"/>
          <w:highlight w:val="none"/>
          <w:lang w:val="en-US" w:eastAsia="zh-CN"/>
        </w:rPr>
        <w:t>市长办公会议纪要〔2015〕3号</w:t>
      </w:r>
      <w:r>
        <w:rPr>
          <w:rFonts w:hint="eastAsia" w:ascii="仿宋_GB2312" w:hAnsi="仿宋_GB2312" w:eastAsia="仿宋_GB2312" w:cs="仿宋_GB2312"/>
          <w:color w:val="000000"/>
          <w:sz w:val="32"/>
          <w:szCs w:val="32"/>
          <w:lang w:val="en-US" w:eastAsia="zh-CN"/>
        </w:rPr>
        <w:t>和市政府常务会议纪要〔2023〕11号文件规定计算补助。</w:t>
      </w:r>
    </w:p>
    <w:p w14:paraId="3CF5428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color w:val="000000"/>
          <w:sz w:val="32"/>
          <w:szCs w:val="32"/>
          <w:lang w:val="en-US" w:eastAsia="zh-CN"/>
        </w:rPr>
        <w:t>财政拨款收入中来源于</w:t>
      </w:r>
      <w:r>
        <w:rPr>
          <w:rFonts w:hint="eastAsia" w:ascii="仿宋_GB2312" w:hAnsi="仿宋_GB2312" w:eastAsia="仿宋_GB2312" w:cs="仿宋_GB2312"/>
          <w:b/>
          <w:bCs/>
          <w:color w:val="000000"/>
          <w:sz w:val="32"/>
          <w:szCs w:val="32"/>
          <w:lang w:val="en-US" w:eastAsia="zh-CN"/>
        </w:rPr>
        <w:t>上级转移支付</w:t>
      </w:r>
      <w:r>
        <w:rPr>
          <w:rFonts w:hint="eastAsia" w:ascii="仿宋_GB2312" w:hAnsi="仿宋_GB2312" w:eastAsia="仿宋_GB2312" w:cs="仿宋_GB2312"/>
          <w:color w:val="000000"/>
          <w:sz w:val="32"/>
          <w:szCs w:val="32"/>
          <w:lang w:val="en-US" w:eastAsia="zh-CN"/>
        </w:rPr>
        <w:t>安排的收入（含一般公共预算、政府性基金预算和国有资本经营预算），原则上应当按照上级提前下达数编列，市财政局将上级转移支付资金提前下达情况及时通知并下达给相关部门，相关部门应当及时分配给所属预算单位。</w:t>
      </w:r>
    </w:p>
    <w:p w14:paraId="73012B3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color w:val="000000"/>
          <w:sz w:val="32"/>
          <w:szCs w:val="32"/>
          <w:lang w:val="en-US" w:eastAsia="zh-CN"/>
        </w:rPr>
        <w:t>财政拨款收入中来源于</w:t>
      </w:r>
      <w:r>
        <w:rPr>
          <w:rFonts w:hint="eastAsia" w:ascii="仿宋_GB2312" w:hAnsi="仿宋_GB2312" w:eastAsia="仿宋_GB2312" w:cs="仿宋_GB2312"/>
          <w:b/>
          <w:bCs/>
          <w:color w:val="000000"/>
          <w:sz w:val="32"/>
          <w:szCs w:val="32"/>
          <w:lang w:val="en-US" w:eastAsia="zh-CN"/>
        </w:rPr>
        <w:t>政府债券转贷</w:t>
      </w:r>
      <w:r>
        <w:rPr>
          <w:rFonts w:hint="eastAsia" w:ascii="仿宋_GB2312" w:hAnsi="仿宋_GB2312" w:eastAsia="仿宋_GB2312" w:cs="仿宋_GB2312"/>
          <w:color w:val="000000"/>
          <w:sz w:val="32"/>
          <w:szCs w:val="32"/>
          <w:lang w:val="en-US" w:eastAsia="zh-CN"/>
        </w:rPr>
        <w:t>的收入（含一般公共预算、政府性基金预算），原则上按部门单位申报政府债券项目发行收入编列，因编制年初预算时，债券发行收入无法准确预计，所以部门单位不编制政府债券转贷收入。</w:t>
      </w:r>
    </w:p>
    <w:p w14:paraId="6C884B5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color w:val="000000"/>
          <w:sz w:val="32"/>
          <w:szCs w:val="32"/>
          <w:lang w:val="en-US" w:eastAsia="zh-CN"/>
        </w:rPr>
        <w:t>财政拨款收入中预计</w:t>
      </w:r>
      <w:r>
        <w:rPr>
          <w:rFonts w:hint="eastAsia" w:ascii="仿宋_GB2312" w:hAnsi="仿宋_GB2312" w:eastAsia="仿宋_GB2312" w:cs="仿宋_GB2312"/>
          <w:b/>
          <w:bCs/>
          <w:color w:val="000000"/>
          <w:sz w:val="32"/>
          <w:szCs w:val="32"/>
          <w:lang w:val="en-US" w:eastAsia="zh-CN"/>
        </w:rPr>
        <w:t>结转结余</w:t>
      </w:r>
      <w:r>
        <w:rPr>
          <w:rFonts w:hint="eastAsia" w:ascii="仿宋_GB2312" w:hAnsi="仿宋_GB2312" w:eastAsia="仿宋_GB2312" w:cs="仿宋_GB2312"/>
          <w:color w:val="000000"/>
          <w:sz w:val="32"/>
          <w:szCs w:val="32"/>
          <w:lang w:val="en-US" w:eastAsia="zh-CN"/>
        </w:rPr>
        <w:t>的收入是指</w:t>
      </w:r>
      <w:r>
        <w:rPr>
          <w:rFonts w:hint="eastAsia" w:ascii="仿宋_GB2312" w:hAnsi="仿宋_GB2312" w:eastAsia="仿宋_GB2312" w:cs="仿宋_GB2312"/>
          <w:b/>
          <w:bCs/>
          <w:color w:val="000000"/>
          <w:sz w:val="32"/>
          <w:szCs w:val="32"/>
          <w:lang w:val="en-US" w:eastAsia="zh-CN"/>
        </w:rPr>
        <w:t>除</w:t>
      </w:r>
      <w:r>
        <w:rPr>
          <w:rFonts w:hint="eastAsia" w:ascii="仿宋_GB2312" w:hAnsi="仿宋_GB2312" w:eastAsia="仿宋_GB2312" w:cs="仿宋_GB2312"/>
          <w:color w:val="000000"/>
          <w:sz w:val="32"/>
          <w:szCs w:val="32"/>
          <w:lang w:val="en-US" w:eastAsia="zh-CN"/>
        </w:rPr>
        <w:t>由财政收回统筹的结转结余收入</w:t>
      </w:r>
      <w:bookmarkStart w:id="2" w:name="_Hlk84517790"/>
      <w:r>
        <w:rPr>
          <w:rFonts w:hint="eastAsia" w:ascii="仿宋_GB2312" w:hAnsi="仿宋_GB2312" w:eastAsia="仿宋_GB2312" w:cs="仿宋_GB2312"/>
          <w:b/>
          <w:bCs/>
          <w:color w:val="000000"/>
          <w:sz w:val="32"/>
          <w:szCs w:val="32"/>
          <w:lang w:val="en-US" w:eastAsia="zh-CN"/>
        </w:rPr>
        <w:t>外</w:t>
      </w:r>
      <w:r>
        <w:rPr>
          <w:rFonts w:hint="eastAsia" w:ascii="仿宋_GB2312" w:hAnsi="仿宋_GB2312" w:eastAsia="仿宋_GB2312" w:cs="仿宋_GB2312"/>
          <w:color w:val="000000"/>
          <w:sz w:val="32"/>
          <w:szCs w:val="32"/>
          <w:lang w:val="en-US" w:eastAsia="zh-CN"/>
        </w:rPr>
        <w:t>，</w:t>
      </w:r>
      <w:bookmarkEnd w:id="2"/>
      <w:r>
        <w:rPr>
          <w:rFonts w:hint="eastAsia" w:ascii="仿宋_GB2312" w:hAnsi="仿宋_GB2312" w:eastAsia="仿宋_GB2312" w:cs="仿宋_GB2312"/>
          <w:color w:val="000000"/>
          <w:sz w:val="32"/>
          <w:szCs w:val="32"/>
          <w:lang w:val="en-US" w:eastAsia="zh-CN"/>
        </w:rPr>
        <w:t>按最新结转结余资金管理有关规定可以结转下年继续使用的项目，结合该项目预算执行进度合理预计的结转结余。</w:t>
      </w:r>
    </w:p>
    <w:p w14:paraId="399D056B">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楷体_GB2312" w:hAnsi="楷体_GB2312" w:eastAsia="楷体_GB2312" w:cs="楷体_GB2312"/>
          <w:b/>
          <w:bCs/>
          <w:color w:val="000000"/>
          <w:sz w:val="32"/>
          <w:szCs w:val="32"/>
          <w:highlight w:val="none"/>
          <w:u w:val="none"/>
          <w:lang w:val="en-US" w:eastAsia="zh-CN"/>
        </w:rPr>
        <w:t>2.财政专户管理资金和单位资金收入</w:t>
      </w:r>
    </w:p>
    <w:p w14:paraId="78686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财政专户管理资金、单位资金的当年收入和上年结转收入，应当根据各预算单位</w:t>
      </w:r>
      <w:r>
        <w:rPr>
          <w:rFonts w:hint="eastAsia" w:ascii="仿宋_GB2312" w:hAnsi="仿宋_GB2312" w:eastAsia="仿宋_GB2312" w:cs="仿宋_GB2312"/>
          <w:color w:val="000000"/>
          <w:sz w:val="32"/>
          <w:szCs w:val="32"/>
          <w:highlight w:val="none"/>
          <w:lang w:val="en-US" w:eastAsia="zh-CN"/>
        </w:rPr>
        <w:t>实际情况</w:t>
      </w:r>
      <w:r>
        <w:rPr>
          <w:rFonts w:hint="eastAsia" w:ascii="仿宋_GB2312" w:hAnsi="仿宋_GB2312" w:eastAsia="仿宋_GB2312" w:cs="仿宋_GB2312"/>
          <w:color w:val="000000"/>
          <w:sz w:val="32"/>
          <w:szCs w:val="32"/>
          <w:lang w:val="en-US" w:eastAsia="zh-CN"/>
        </w:rPr>
        <w:t>充分、合理预计，并全部纳入预算统筹安排使用</w:t>
      </w:r>
      <w:r>
        <w:rPr>
          <w:rFonts w:hint="eastAsia" w:ascii="仿宋_GB2312" w:hAnsi="仿宋_GB2312" w:eastAsia="仿宋_GB2312" w:cs="仿宋_GB2312"/>
          <w:sz w:val="32"/>
          <w:szCs w:val="32"/>
        </w:rPr>
        <w:t>。</w:t>
      </w:r>
    </w:p>
    <w:p w14:paraId="1F9459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（三）部门预算支出的编报</w:t>
      </w:r>
    </w:p>
    <w:p w14:paraId="1B30B870">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sz w:val="32"/>
          <w:szCs w:val="32"/>
          <w:highlight w:val="none"/>
          <w:u w:val="none"/>
          <w:lang w:val="en-US" w:eastAsia="zh-CN"/>
        </w:rPr>
      </w:pPr>
      <w:r>
        <w:rPr>
          <w:rFonts w:hint="eastAsia" w:ascii="楷体_GB2312" w:hAnsi="楷体_GB2312" w:eastAsia="楷体_GB2312" w:cs="楷体_GB2312"/>
          <w:b/>
          <w:bCs/>
          <w:color w:val="000000"/>
          <w:sz w:val="32"/>
          <w:szCs w:val="32"/>
          <w:highlight w:val="none"/>
          <w:u w:val="none"/>
          <w:lang w:val="en-US" w:eastAsia="zh-CN"/>
        </w:rPr>
        <w:t>1.人员类项目支出编报</w:t>
      </w:r>
    </w:p>
    <w:p w14:paraId="1A259C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（1）在职人员</w:t>
      </w:r>
    </w:p>
    <w:p w14:paraId="22054CA7">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基本工资。</w:t>
      </w:r>
      <w:r>
        <w:rPr>
          <w:rFonts w:hint="eastAsia" w:ascii="仿宋_GB2312" w:hAnsi="仿宋_GB2312" w:eastAsia="仿宋_GB2312" w:cs="仿宋_GB2312"/>
          <w:color w:val="auto"/>
          <w:sz w:val="32"/>
          <w:szCs w:val="32"/>
        </w:rPr>
        <w:t>按照组织或人社部门最新核定的职务（岗位）、级别（</w:t>
      </w:r>
      <w:r>
        <w:rPr>
          <w:rFonts w:hint="eastAsia" w:ascii="仿宋_GB2312" w:hAnsi="仿宋_GB2312" w:eastAsia="仿宋_GB2312" w:cs="仿宋_GB2312"/>
          <w:color w:val="auto"/>
          <w:sz w:val="32"/>
          <w:szCs w:val="32"/>
          <w:lang w:val="en-US" w:eastAsia="zh-CN"/>
        </w:rPr>
        <w:t>技术等级、</w:t>
      </w:r>
      <w:r>
        <w:rPr>
          <w:rFonts w:hint="eastAsia" w:ascii="仿宋_GB2312" w:hAnsi="仿宋_GB2312" w:eastAsia="仿宋_GB2312" w:cs="仿宋_GB2312"/>
          <w:color w:val="auto"/>
          <w:sz w:val="32"/>
          <w:szCs w:val="32"/>
        </w:rPr>
        <w:t>薪级）填报，试用期工资填报在人员信息的“职务（岗位）”栏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10%教护工资在“单位基础信息汇总表”（即“大冶取数表”）中列示，</w:t>
      </w:r>
      <w:r>
        <w:rPr>
          <w:rFonts w:hint="eastAsia" w:ascii="仿宋_GB2312" w:hAnsi="仿宋_GB2312" w:eastAsia="仿宋_GB2312" w:cs="仿宋_GB2312"/>
          <w:color w:val="auto"/>
          <w:sz w:val="32"/>
          <w:szCs w:val="32"/>
          <w:lang w:val="en-US" w:eastAsia="zh-CN"/>
        </w:rPr>
        <w:t>人员信息中不予填报。</w:t>
      </w:r>
    </w:p>
    <w:p w14:paraId="168AD885">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津贴补贴。一是国家规范津补贴</w:t>
      </w:r>
      <w:r>
        <w:rPr>
          <w:rFonts w:hint="eastAsia" w:ascii="仿宋_GB2312" w:hAnsi="仿宋_GB2312" w:eastAsia="仿宋_GB2312" w:cs="仿宋_GB2312"/>
          <w:color w:val="auto"/>
          <w:sz w:val="32"/>
          <w:szCs w:val="32"/>
          <w:lang w:val="en-US" w:eastAsia="zh-CN"/>
        </w:rPr>
        <w:t>，包括：93年工改保留补贴、援藏援疆工作补贴、岗位津贴、警衔津贴、警察执勤岗位津贴、警察加班补贴、乡镇工作补贴以及有关部门特殊岗位津贴等，其中教护龄津贴、特级教师津贴</w:t>
      </w:r>
      <w:bookmarkStart w:id="3" w:name="OLE_LINK2"/>
      <w:r>
        <w:rPr>
          <w:rFonts w:hint="eastAsia" w:ascii="仿宋_GB2312" w:hAnsi="仿宋_GB2312" w:eastAsia="仿宋_GB2312" w:cs="仿宋_GB2312"/>
          <w:color w:val="auto"/>
          <w:sz w:val="32"/>
          <w:szCs w:val="32"/>
          <w:lang w:val="en-US" w:eastAsia="zh-CN"/>
        </w:rPr>
        <w:t>在“大冶取数表”上填报</w:t>
      </w:r>
      <w:bookmarkEnd w:id="3"/>
      <w:r>
        <w:rPr>
          <w:rFonts w:hint="eastAsia" w:ascii="仿宋_GB2312" w:hAnsi="仿宋_GB2312" w:eastAsia="仿宋_GB2312" w:cs="仿宋_GB2312"/>
          <w:color w:val="auto"/>
          <w:sz w:val="32"/>
          <w:szCs w:val="32"/>
          <w:lang w:val="en-US" w:eastAsia="zh-CN"/>
        </w:rPr>
        <w:t>，特殊岗位津贴需严格按照相关政策规定的范围和标准</w:t>
      </w:r>
      <w:r>
        <w:rPr>
          <w:rFonts w:hint="eastAsia" w:ascii="仿宋_GB2312" w:hAnsi="仿宋_GB2312" w:eastAsia="仿宋_GB2312" w:cs="仿宋_GB2312"/>
          <w:color w:val="auto"/>
          <w:sz w:val="32"/>
          <w:szCs w:val="32"/>
          <w:highlight w:val="none"/>
          <w:lang w:val="en-US" w:eastAsia="zh-CN"/>
        </w:rPr>
        <w:t>进行填报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二是地方性津补贴</w:t>
      </w:r>
      <w:r>
        <w:rPr>
          <w:rFonts w:hint="eastAsia" w:ascii="仿宋_GB2312" w:hAnsi="仿宋_GB2312" w:eastAsia="仿宋_GB2312" w:cs="仿宋_GB2312"/>
          <w:color w:val="auto"/>
          <w:sz w:val="32"/>
          <w:szCs w:val="32"/>
          <w:lang w:val="en-US" w:eastAsia="zh-CN"/>
        </w:rPr>
        <w:t>，包括：机关工作人员（含参公管理）规范后津贴补贴、改革性津补贴（住房补贴、交通补贴、通讯补贴、物业补贴）和绩效奖金（工资）</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none"/>
          <w:lang w:val="en-US" w:eastAsia="zh-CN"/>
        </w:rPr>
        <w:t>关于住房补贴，在职人员按照津补贴清理相关政策要求不得突破2020年标准，2020年后新入职人员住房补贴</w:t>
      </w:r>
      <w:bookmarkStart w:id="4" w:name="OLE_LINK3"/>
      <w:r>
        <w:rPr>
          <w:rFonts w:hint="eastAsia" w:ascii="仿宋_GB2312" w:hAnsi="仿宋_GB2312" w:eastAsia="仿宋_GB2312" w:cs="仿宋_GB2312"/>
          <w:color w:val="auto"/>
          <w:sz w:val="32"/>
          <w:szCs w:val="32"/>
          <w:highlight w:val="none"/>
          <w:u w:val="none"/>
          <w:lang w:val="en-US" w:eastAsia="zh-CN"/>
        </w:rPr>
        <w:t>依照组织和人社部门的相关规定和标准执行。</w:t>
      </w:r>
    </w:p>
    <w:bookmarkEnd w:id="4"/>
    <w:p w14:paraId="1776C395">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绩效奖金（工资）包括：</w:t>
      </w:r>
      <w:r>
        <w:rPr>
          <w:rFonts w:hint="eastAsia" w:ascii="仿宋_GB2312" w:hAnsi="仿宋_GB2312" w:eastAsia="仿宋_GB2312" w:cs="仿宋_GB2312"/>
          <w:color w:val="000000"/>
          <w:sz w:val="32"/>
          <w:szCs w:val="32"/>
          <w:lang w:val="en-US" w:eastAsia="zh-CN"/>
        </w:rPr>
        <w:t>基础绩效奖、年度考核奖、事业单位单列核定绩效工资等。“基础绩效奖”栏按照组织或人社部门最新审批的每月随工资发放基础绩效奖金的标准填报；“年度考核奖”栏按照组织部门核定的机关工作人员（含参公管理）标准填报；“事业单位单列核定绩效奖工资”栏按照人社部门核定的事业工作人员标准填报。以上绩效奖金（工资）所需资金，仍按原财政保障渠道安排。</w:t>
      </w:r>
    </w:p>
    <w:p w14:paraId="4F4F7C8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机关工作人员（含参公管理）年终相当于当年一个月基本工资的奖</w:t>
      </w:r>
      <w:r>
        <w:rPr>
          <w:rFonts w:hint="eastAsia" w:ascii="仿宋_GB2312" w:hAnsi="仿宋_GB2312" w:eastAsia="仿宋_GB2312" w:cs="仿宋_GB2312"/>
          <w:color w:val="000000"/>
          <w:sz w:val="32"/>
          <w:szCs w:val="32"/>
          <w:u w:val="none"/>
          <w:lang w:val="en-US" w:eastAsia="zh-CN"/>
        </w:rPr>
        <w:t>金由预算管理一体化系统测算计提</w:t>
      </w:r>
      <w:r>
        <w:rPr>
          <w:rFonts w:hint="eastAsia" w:ascii="仿宋_GB2312" w:hAnsi="仿宋_GB2312" w:eastAsia="仿宋_GB2312" w:cs="仿宋_GB2312"/>
          <w:color w:val="000000"/>
          <w:sz w:val="32"/>
          <w:szCs w:val="32"/>
          <w:highlight w:val="none"/>
          <w:u w:val="none"/>
          <w:lang w:val="en-US" w:eastAsia="zh-CN"/>
        </w:rPr>
        <w:t>汇总在单</w:t>
      </w:r>
      <w:r>
        <w:rPr>
          <w:rFonts w:hint="eastAsia" w:ascii="仿宋_GB2312" w:hAnsi="仿宋_GB2312" w:eastAsia="仿宋_GB2312" w:cs="仿宋_GB2312"/>
          <w:color w:val="000000"/>
          <w:sz w:val="32"/>
          <w:szCs w:val="32"/>
          <w:highlight w:val="none"/>
          <w:lang w:val="en-US" w:eastAsia="zh-CN"/>
        </w:rPr>
        <w:t>位奖金总额中</w:t>
      </w:r>
      <w:r>
        <w:rPr>
          <w:rFonts w:hint="eastAsia" w:ascii="仿宋_GB2312" w:hAnsi="仿宋_GB2312" w:eastAsia="仿宋_GB2312" w:cs="仿宋_GB2312"/>
          <w:color w:val="000000"/>
          <w:sz w:val="32"/>
          <w:szCs w:val="32"/>
          <w:lang w:val="en-US" w:eastAsia="zh-CN"/>
        </w:rPr>
        <w:t>，人员信息中不予填报。</w:t>
      </w:r>
    </w:p>
    <w:p w14:paraId="10ABF749">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绩效工资。</w:t>
      </w:r>
      <w:r>
        <w:rPr>
          <w:rFonts w:hint="eastAsia" w:ascii="仿宋_GB2312" w:hAnsi="仿宋_GB2312" w:eastAsia="仿宋_GB2312" w:cs="仿宋_GB2312"/>
          <w:color w:val="auto"/>
          <w:sz w:val="32"/>
          <w:szCs w:val="32"/>
          <w:u w:val="none"/>
        </w:rPr>
        <w:t>实行绩效工资制的事业工作人员</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按照人社部门最新核定的绩效工资标准填报，绩效工资总量中已包含了</w:t>
      </w:r>
      <w:r>
        <w:rPr>
          <w:rFonts w:hint="eastAsia" w:ascii="仿宋_GB2312" w:hAnsi="仿宋_GB2312" w:eastAsia="仿宋_GB2312" w:cs="仿宋_GB2312"/>
          <w:color w:val="auto"/>
          <w:sz w:val="32"/>
          <w:szCs w:val="32"/>
          <w:u w:val="none"/>
        </w:rPr>
        <w:t>相当于当年一个月基本工资的</w:t>
      </w:r>
      <w:r>
        <w:rPr>
          <w:rFonts w:hint="eastAsia" w:ascii="仿宋_GB2312" w:hAnsi="仿宋_GB2312" w:eastAsia="仿宋_GB2312" w:cs="仿宋_GB2312"/>
          <w:color w:val="auto"/>
          <w:sz w:val="32"/>
          <w:szCs w:val="32"/>
          <w:u w:val="none"/>
          <w:lang w:val="en-US" w:eastAsia="zh-CN"/>
        </w:rPr>
        <w:t>年终</w:t>
      </w:r>
      <w:r>
        <w:rPr>
          <w:rFonts w:hint="eastAsia" w:ascii="仿宋_GB2312" w:hAnsi="仿宋_GB2312" w:eastAsia="仿宋_GB2312" w:cs="仿宋_GB2312"/>
          <w:color w:val="auto"/>
          <w:sz w:val="32"/>
          <w:szCs w:val="32"/>
          <w:u w:val="none"/>
        </w:rPr>
        <w:t>考核奖励</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在“绩效工资”栏应填报</w:t>
      </w:r>
      <w:r>
        <w:rPr>
          <w:rFonts w:hint="eastAsia" w:ascii="仿宋_GB2312" w:hAnsi="仿宋_GB2312" w:eastAsia="仿宋_GB2312" w:cs="仿宋_GB2312"/>
          <w:color w:val="auto"/>
          <w:sz w:val="32"/>
          <w:szCs w:val="32"/>
          <w:u w:val="none"/>
        </w:rPr>
        <w:t>绩效工资总量</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lang w:val="en-US" w:eastAsia="zh-CN"/>
        </w:rPr>
        <w:t>月均数，年终考核奖励不再单独列支。</w:t>
      </w:r>
    </w:p>
    <w:p w14:paraId="20E2B76E">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住房公积金。</w:t>
      </w:r>
      <w:r>
        <w:rPr>
          <w:rFonts w:hint="eastAsia" w:ascii="仿宋_GB2312" w:hAnsi="仿宋_GB2312" w:eastAsia="仿宋_GB2312" w:cs="仿宋_GB2312"/>
          <w:color w:val="auto"/>
          <w:sz w:val="32"/>
          <w:szCs w:val="32"/>
          <w:highlight w:val="none"/>
        </w:rPr>
        <w:t>按基本工资、绩效工资和津贴补贴全年之和的12%计算（不含伤残保健金）</w:t>
      </w:r>
      <w:r>
        <w:rPr>
          <w:rFonts w:hint="eastAsia" w:ascii="仿宋_GB2312" w:hAnsi="仿宋_GB2312" w:eastAsia="仿宋_GB2312" w:cs="仿宋_GB2312"/>
          <w:color w:val="auto"/>
          <w:sz w:val="32"/>
          <w:szCs w:val="32"/>
          <w:highlight w:val="none"/>
          <w:lang w:val="en-US" w:eastAsia="zh-CN"/>
        </w:rPr>
        <w:t>。</w:t>
      </w:r>
    </w:p>
    <w:p w14:paraId="20D55DAA">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工资附加</w:t>
      </w:r>
      <w:r>
        <w:rPr>
          <w:rFonts w:hint="eastAsia" w:ascii="仿宋_GB2312" w:hAnsi="仿宋_GB2312" w:eastAsia="仿宋_GB2312" w:cs="仿宋_GB2312"/>
          <w:b/>
          <w:bCs/>
          <w:color w:val="auto"/>
          <w:sz w:val="32"/>
          <w:szCs w:val="32"/>
        </w:rPr>
        <w:t>缴费。</w:t>
      </w:r>
      <w:r>
        <w:rPr>
          <w:rFonts w:hint="eastAsia" w:ascii="仿宋_GB2312" w:hAnsi="仿宋_GB2312" w:eastAsia="仿宋_GB2312" w:cs="仿宋_GB2312"/>
          <w:color w:val="auto"/>
          <w:sz w:val="32"/>
          <w:szCs w:val="32"/>
        </w:rPr>
        <w:t>基本养老保险</w:t>
      </w:r>
      <w:r>
        <w:rPr>
          <w:rFonts w:hint="eastAsia" w:ascii="仿宋_GB2312" w:hAnsi="仿宋_GB2312" w:eastAsia="仿宋_GB2312" w:cs="仿宋_GB2312"/>
          <w:color w:val="auto"/>
          <w:sz w:val="32"/>
          <w:szCs w:val="32"/>
          <w:lang w:val="en-US" w:eastAsia="zh-CN"/>
        </w:rPr>
        <w:t>缴费。</w:t>
      </w:r>
      <w:r>
        <w:rPr>
          <w:rFonts w:hint="eastAsia" w:ascii="仿宋_GB2312" w:hAnsi="仿宋_GB2312" w:eastAsia="仿宋_GB2312" w:cs="仿宋_GB2312"/>
          <w:color w:val="auto"/>
          <w:sz w:val="32"/>
          <w:szCs w:val="32"/>
          <w:highlight w:val="none"/>
        </w:rPr>
        <w:t>按基本工资、</w:t>
      </w:r>
      <w:r>
        <w:rPr>
          <w:rFonts w:hint="eastAsia" w:ascii="仿宋_GB2312" w:hAnsi="仿宋_GB2312" w:eastAsia="仿宋_GB2312" w:cs="仿宋_GB2312"/>
          <w:b w:val="0"/>
          <w:bCs w:val="0"/>
          <w:color w:val="auto"/>
          <w:sz w:val="32"/>
          <w:szCs w:val="32"/>
          <w:highlight w:val="none"/>
          <w:lang w:val="en-US" w:eastAsia="zh-CN"/>
        </w:rPr>
        <w:t>绩效工资、</w:t>
      </w:r>
      <w:r>
        <w:rPr>
          <w:rFonts w:hint="eastAsia" w:ascii="仿宋_GB2312" w:hAnsi="仿宋_GB2312" w:eastAsia="仿宋_GB2312" w:cs="仿宋_GB2312"/>
          <w:color w:val="auto"/>
          <w:sz w:val="32"/>
          <w:szCs w:val="32"/>
          <w:highlight w:val="none"/>
          <w:u w:val="none"/>
        </w:rPr>
        <w:t>我省纳入缴费基数范围的津贴补贴</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国家规范津补贴仅包含93工改、警衔、教护龄、特级教师；地方性津补贴仅包含规范后津贴补贴、改革性津补贴、基础绩效奖</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之和的</w:t>
      </w:r>
      <w:r>
        <w:rPr>
          <w:rFonts w:hint="eastAsia" w:ascii="仿宋_GB2312" w:hAnsi="仿宋_GB2312" w:eastAsia="仿宋_GB2312" w:cs="仿宋_GB2312"/>
          <w:color w:val="auto"/>
          <w:sz w:val="32"/>
          <w:szCs w:val="32"/>
          <w:highlight w:val="none"/>
        </w:rPr>
        <w:t>16%计算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基本医疗保险（含生育保险）</w:t>
      </w:r>
      <w:r>
        <w:rPr>
          <w:rFonts w:hint="eastAsia" w:ascii="仿宋_GB2312" w:hAnsi="仿宋_GB2312" w:eastAsia="仿宋_GB2312" w:cs="仿宋_GB2312"/>
          <w:color w:val="auto"/>
          <w:sz w:val="32"/>
          <w:szCs w:val="32"/>
          <w:lang w:val="en-US" w:eastAsia="zh-CN"/>
        </w:rPr>
        <w:t>缴费。</w:t>
      </w:r>
      <w:r>
        <w:rPr>
          <w:rFonts w:hint="eastAsia" w:ascii="仿宋_GB2312" w:hAnsi="仿宋_GB2312" w:eastAsia="仿宋_GB2312" w:cs="仿宋_GB2312"/>
          <w:color w:val="auto"/>
          <w:sz w:val="32"/>
          <w:szCs w:val="32"/>
        </w:rPr>
        <w:t>按基本工资、</w:t>
      </w:r>
      <w:r>
        <w:rPr>
          <w:rFonts w:hint="eastAsia" w:ascii="仿宋_GB2312" w:hAnsi="仿宋_GB2312" w:eastAsia="仿宋_GB2312" w:cs="仿宋_GB2312"/>
          <w:b w:val="0"/>
          <w:bCs w:val="0"/>
          <w:color w:val="auto"/>
          <w:sz w:val="32"/>
          <w:szCs w:val="32"/>
          <w:lang w:val="en-US" w:eastAsia="zh-CN"/>
        </w:rPr>
        <w:t>绩效工资、</w:t>
      </w:r>
      <w:r>
        <w:rPr>
          <w:rFonts w:hint="eastAsia" w:ascii="仿宋_GB2312" w:hAnsi="仿宋_GB2312" w:eastAsia="仿宋_GB2312" w:cs="仿宋_GB2312"/>
          <w:color w:val="auto"/>
          <w:sz w:val="32"/>
          <w:szCs w:val="32"/>
        </w:rPr>
        <w:t>津贴补贴全年之和的</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（职工基本医疗保险</w:t>
      </w:r>
      <w:r>
        <w:rPr>
          <w:rFonts w:hint="eastAsia" w:ascii="仿宋_GB2312" w:hAnsi="仿宋_GB2312" w:eastAsia="仿宋_GB2312" w:cs="仿宋_GB2312"/>
          <w:color w:val="auto"/>
          <w:sz w:val="32"/>
          <w:szCs w:val="32"/>
          <w:lang w:val="en-US" w:eastAsia="zh-CN"/>
        </w:rPr>
        <w:t>缴费比例8%，生育保险缴费比例0.5%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计算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公务员医疗保险</w:t>
      </w:r>
      <w:r>
        <w:rPr>
          <w:rFonts w:hint="eastAsia" w:ascii="仿宋_GB2312" w:hAnsi="仿宋_GB2312" w:eastAsia="仿宋_GB2312" w:cs="仿宋_GB2312"/>
          <w:color w:val="auto"/>
          <w:sz w:val="32"/>
          <w:szCs w:val="32"/>
          <w:lang w:val="en-US" w:eastAsia="zh-CN"/>
        </w:rPr>
        <w:t>缴费。</w:t>
      </w:r>
      <w:r>
        <w:rPr>
          <w:rFonts w:hint="eastAsia" w:ascii="仿宋_GB2312" w:hAnsi="仿宋_GB2312" w:eastAsia="仿宋_GB2312" w:cs="仿宋_GB2312"/>
          <w:color w:val="auto"/>
          <w:sz w:val="32"/>
          <w:szCs w:val="32"/>
        </w:rPr>
        <w:t>按基本工资、绩效工资、津贴补贴全年之和的</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%计算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工伤保险</w:t>
      </w:r>
      <w:r>
        <w:rPr>
          <w:rFonts w:hint="eastAsia" w:ascii="仿宋_GB2312" w:hAnsi="仿宋_GB2312" w:eastAsia="仿宋_GB2312" w:cs="仿宋_GB2312"/>
          <w:color w:val="auto"/>
          <w:sz w:val="32"/>
          <w:szCs w:val="32"/>
          <w:lang w:val="en-US" w:eastAsia="zh-CN"/>
        </w:rPr>
        <w:t>缴费。</w:t>
      </w:r>
      <w:r>
        <w:rPr>
          <w:rFonts w:hint="eastAsia" w:ascii="仿宋_GB2312" w:hAnsi="仿宋_GB2312" w:eastAsia="仿宋_GB2312" w:cs="仿宋_GB2312"/>
          <w:color w:val="auto"/>
          <w:sz w:val="32"/>
          <w:szCs w:val="32"/>
        </w:rPr>
        <w:t>按基本工资、绩效工资、津贴补贴全年之和的0.2%计算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失业保险缴费。按事业单位的</w:t>
      </w:r>
      <w:r>
        <w:rPr>
          <w:rFonts w:hint="eastAsia" w:ascii="仿宋_GB2312" w:hAnsi="仿宋_GB2312" w:eastAsia="仿宋_GB2312" w:cs="仿宋_GB2312"/>
          <w:color w:val="auto"/>
          <w:sz w:val="32"/>
          <w:szCs w:val="32"/>
        </w:rPr>
        <w:t>基本工资、绩效工资、津贴补贴全年之和的0.</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%计算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行政单位中的事业人员失业保险在日常公用经费中安排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职业年金。按当年新增退休人员和调出外地人员经人社部门核批的应缴数额由单位另行向财政部门申请预算经费。</w:t>
      </w:r>
      <w:r>
        <w:rPr>
          <w:rFonts w:hint="eastAsia" w:ascii="仿宋_GB2312" w:hAnsi="仿宋_GB2312" w:eastAsia="仿宋_GB2312" w:cs="仿宋_GB2312"/>
          <w:color w:val="auto"/>
          <w:sz w:val="32"/>
          <w:szCs w:val="32"/>
        </w:rPr>
        <w:t>大病统筹缴费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按每人每年60元计算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所有工资附加缴费计算基数均不含伤残保健金。</w:t>
      </w:r>
    </w:p>
    <w:p w14:paraId="3B8D3F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（2）离退休人员</w:t>
      </w:r>
    </w:p>
    <w:p w14:paraId="1C2E51A3">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离休人员个人经费。</w:t>
      </w:r>
      <w:r>
        <w:rPr>
          <w:rFonts w:hint="eastAsia" w:ascii="仿宋_GB2312" w:hAnsi="仿宋_GB2312" w:eastAsia="仿宋_GB2312" w:cs="仿宋_GB2312"/>
          <w:color w:val="000000"/>
          <w:sz w:val="32"/>
          <w:szCs w:val="32"/>
          <w:lang w:val="en-US" w:eastAsia="zh-CN"/>
        </w:rPr>
        <w:t>包括基本离休费、离休干部增发</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highlight w:val="none"/>
          <w:u w:val="none"/>
          <w:lang w:val="en-US" w:eastAsia="zh-CN"/>
        </w:rPr>
        <w:t>—3个月</w:t>
      </w:r>
      <w:r>
        <w:rPr>
          <w:rFonts w:hint="eastAsia" w:ascii="仿宋_GB2312" w:hAnsi="仿宋_GB2312" w:eastAsia="仿宋_GB2312" w:cs="仿宋_GB2312"/>
          <w:color w:val="000000"/>
          <w:sz w:val="32"/>
          <w:szCs w:val="32"/>
          <w:lang w:val="en-US" w:eastAsia="zh-CN"/>
        </w:rPr>
        <w:t>基本离休费的一次性补贴、津贴补贴（含93年工改保留补贴、规范后津贴补贴、各项改革性津补贴）、护理费、伤残保健金，以及离休人员基础绩效奖等，按组织部门审批的金额填报。</w:t>
      </w:r>
    </w:p>
    <w:p w14:paraId="627975BA">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highlight w:val="none"/>
          <w:u w:val="single"/>
          <w:lang w:val="en-US" w:eastAsia="zh-CN"/>
        </w:rPr>
      </w:pPr>
      <w:r>
        <w:rPr>
          <w:rFonts w:hint="eastAsia" w:ascii="仿宋_GB2312" w:hAnsi="仿宋_GB2312" w:eastAsia="仿宋_GB2312" w:cs="仿宋_GB2312"/>
          <w:b/>
          <w:bCs/>
          <w:color w:val="000000"/>
          <w:sz w:val="32"/>
          <w:szCs w:val="32"/>
          <w:lang w:val="en-US" w:eastAsia="zh-CN"/>
        </w:rPr>
        <w:t>退休人员个人经费。</w:t>
      </w:r>
      <w:r>
        <w:rPr>
          <w:rFonts w:hint="eastAsia" w:ascii="仿宋_GB2312" w:hAnsi="仿宋_GB2312" w:eastAsia="仿宋_GB2312" w:cs="仿宋_GB2312"/>
          <w:color w:val="000000"/>
          <w:sz w:val="32"/>
          <w:szCs w:val="32"/>
          <w:lang w:val="en-US" w:eastAsia="zh-CN"/>
        </w:rPr>
        <w:t>包括退休人员统筹待遇补贴和其他津补贴（伤残保健金、护理费）。基本退休费、退职费纳入养老保险发放。</w:t>
      </w:r>
      <w:r>
        <w:rPr>
          <w:rFonts w:hint="eastAsia" w:ascii="仿宋_GB2312" w:hAnsi="仿宋_GB2312" w:eastAsia="仿宋_GB2312" w:cs="仿宋_GB2312"/>
          <w:color w:val="000000"/>
          <w:sz w:val="32"/>
          <w:szCs w:val="32"/>
          <w:highlight w:val="none"/>
          <w:lang w:val="en-US" w:eastAsia="zh-CN"/>
        </w:rPr>
        <w:t>退休人员“统筹待遇补贴”栏，按人社部门审批的金额填报，其中义务教育退休教师根据《黄石市义务教育退休老师“统筹待遇”核定工作专题会议》精神执行。</w:t>
      </w:r>
      <w:r>
        <w:rPr>
          <w:rFonts w:hint="eastAsia" w:ascii="仿宋_GB2312" w:hAnsi="仿宋_GB2312" w:eastAsia="仿宋_GB2312" w:cs="仿宋_GB2312"/>
          <w:color w:val="auto"/>
          <w:sz w:val="32"/>
          <w:szCs w:val="32"/>
          <w:highlight w:val="none"/>
          <w:u w:val="none"/>
          <w:lang w:val="en-US" w:eastAsia="zh-CN"/>
        </w:rPr>
        <w:t>关于住房补贴，退休人员不再填报。</w:t>
      </w:r>
    </w:p>
    <w:p w14:paraId="03D6574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基本医疗保险实际缴费年限不满13年的退休人员</w:t>
      </w:r>
      <w:r>
        <w:rPr>
          <w:rFonts w:hint="eastAsia" w:ascii="仿宋_GB2312" w:hAnsi="仿宋_GB2312" w:eastAsia="仿宋_GB2312" w:cs="仿宋_GB2312"/>
          <w:color w:val="000000"/>
          <w:sz w:val="32"/>
          <w:szCs w:val="32"/>
          <w:u w:val="none"/>
          <w:lang w:val="en-US" w:eastAsia="zh-CN"/>
        </w:rPr>
        <w:t>按人社部门审批的依据填报，</w:t>
      </w:r>
      <w:r>
        <w:rPr>
          <w:rFonts w:hint="eastAsia" w:ascii="仿宋_GB2312" w:hAnsi="仿宋_GB2312" w:eastAsia="仿宋_GB2312" w:cs="仿宋_GB2312"/>
          <w:color w:val="000000"/>
          <w:sz w:val="32"/>
          <w:szCs w:val="32"/>
          <w:lang w:val="en-US" w:eastAsia="zh-CN"/>
        </w:rPr>
        <w:t>以本单位在职人员的保险基数均数的8%继续缴纳基本医疗保险、退休人员公务员医疗保险按本单位在职人员的保险基数均数的5%计算、退休人员大病统筹按每人每年60元核定，分别列</w:t>
      </w:r>
      <w:r>
        <w:rPr>
          <w:rFonts w:hint="eastAsia" w:ascii="仿宋_GB2312" w:hAnsi="仿宋_GB2312" w:eastAsia="仿宋_GB2312" w:cs="仿宋_GB2312"/>
          <w:color w:val="000000"/>
          <w:sz w:val="32"/>
          <w:szCs w:val="32"/>
          <w:highlight w:val="none"/>
          <w:lang w:val="en-US" w:eastAsia="zh-CN"/>
        </w:rPr>
        <w:t>“30110”“30111”“30112”</w:t>
      </w:r>
      <w:r>
        <w:rPr>
          <w:rFonts w:hint="eastAsia" w:ascii="仿宋_GB2312" w:hAnsi="仿宋_GB2312" w:eastAsia="仿宋_GB2312" w:cs="仿宋_GB2312"/>
          <w:color w:val="000000"/>
          <w:sz w:val="32"/>
          <w:szCs w:val="32"/>
          <w:lang w:val="en-US" w:eastAsia="zh-CN"/>
        </w:rPr>
        <w:t>部门经济分类科目，不计入“30302”部门经济分类科目。</w:t>
      </w:r>
    </w:p>
    <w:p w14:paraId="5CB727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（3）其他人员</w:t>
      </w:r>
    </w:p>
    <w:p w14:paraId="2C8281D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按照市人社部门审批的工资、薪酬、补助及人员类工资附加性支出标准，依照市政府相关政策文件的要求，纳入部门预算。</w:t>
      </w:r>
    </w:p>
    <w:p w14:paraId="47EEBA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2.公用经费类项目支出编报</w:t>
      </w:r>
    </w:p>
    <w:p w14:paraId="17FA60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（1）在职人员公用经费</w:t>
      </w:r>
    </w:p>
    <w:p w14:paraId="71A6704D">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日常公用经费。</w:t>
      </w:r>
      <w:r>
        <w:rPr>
          <w:rFonts w:hint="eastAsia" w:ascii="仿宋_GB2312" w:hAnsi="仿宋_GB2312" w:eastAsia="仿宋_GB2312" w:cs="仿宋_GB2312"/>
          <w:color w:val="000000"/>
          <w:sz w:val="32"/>
          <w:szCs w:val="32"/>
          <w:lang w:val="en-US" w:eastAsia="zh-CN"/>
        </w:rPr>
        <w:t>2026年部门预算单位的日常公用经费严格按照</w:t>
      </w:r>
      <w:r>
        <w:rPr>
          <w:rFonts w:hint="eastAsia" w:ascii="仿宋_GB2312" w:hAnsi="仿宋_GB2312" w:eastAsia="仿宋_GB2312" w:cs="仿宋_GB2312"/>
          <w:color w:val="000000"/>
          <w:sz w:val="32"/>
          <w:szCs w:val="32"/>
          <w:highlight w:val="none"/>
          <w:lang w:val="en-US" w:eastAsia="zh-CN"/>
        </w:rPr>
        <w:t>《大冶市关于贯彻落实党政机关习惯过紧日子要求的实施方案》</w:t>
      </w:r>
      <w:r>
        <w:rPr>
          <w:rFonts w:hint="eastAsia" w:ascii="仿宋_GB2312" w:hAnsi="仿宋_GB2312" w:eastAsia="仿宋_GB2312" w:cs="仿宋_GB2312"/>
          <w:color w:val="000000"/>
          <w:sz w:val="32"/>
          <w:szCs w:val="32"/>
          <w:lang w:val="en-US" w:eastAsia="zh-CN"/>
        </w:rPr>
        <w:t>的要求编制。具体标准如下：</w:t>
      </w:r>
    </w:p>
    <w:p w14:paraId="6265173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一档：年人均2</w:t>
      </w:r>
      <w:r>
        <w:rPr>
          <w:rFonts w:hint="default" w:ascii="仿宋_GB2312" w:hAnsi="仿宋_GB2312" w:eastAsia="仿宋_GB2312" w:cs="仿宋_GB2312"/>
          <w:color w:val="000000"/>
          <w:sz w:val="32"/>
          <w:szCs w:val="32"/>
          <w:lang w:eastAsia="zh-CN"/>
        </w:rPr>
        <w:t>35</w:t>
      </w:r>
      <w:r>
        <w:rPr>
          <w:rFonts w:hint="eastAsia" w:ascii="仿宋_GB2312" w:hAnsi="仿宋_GB2312" w:eastAsia="仿宋_GB2312" w:cs="仿宋_GB2312"/>
          <w:color w:val="000000"/>
          <w:sz w:val="32"/>
          <w:szCs w:val="32"/>
          <w:lang w:val="en-US" w:eastAsia="zh-CN"/>
        </w:rPr>
        <w:t>00元。执行单位：市公安局</w:t>
      </w:r>
      <w:r>
        <w:rPr>
          <w:rFonts w:hint="default" w:ascii="仿宋_GB2312" w:hAnsi="仿宋_GB2312" w:eastAsia="仿宋_GB2312" w:cs="仿宋_GB2312"/>
          <w:color w:val="000000"/>
          <w:sz w:val="32"/>
          <w:szCs w:val="32"/>
          <w:lang w:eastAsia="zh-CN"/>
        </w:rPr>
        <w:t>；</w:t>
      </w:r>
    </w:p>
    <w:p w14:paraId="215714F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二档：年人均2</w:t>
      </w:r>
      <w:r>
        <w:rPr>
          <w:rFonts w:hint="default" w:ascii="仿宋_GB2312" w:hAnsi="仿宋_GB2312" w:eastAsia="仿宋_GB2312" w:cs="仿宋_GB2312"/>
          <w:color w:val="000000"/>
          <w:sz w:val="32"/>
          <w:szCs w:val="32"/>
          <w:lang w:eastAsia="zh-CN"/>
        </w:rPr>
        <w:t>21</w:t>
      </w:r>
      <w:r>
        <w:rPr>
          <w:rFonts w:hint="eastAsia" w:ascii="仿宋_GB2312" w:hAnsi="仿宋_GB2312" w:eastAsia="仿宋_GB2312" w:cs="仿宋_GB2312"/>
          <w:color w:val="000000"/>
          <w:sz w:val="32"/>
          <w:szCs w:val="32"/>
          <w:lang w:val="en-US" w:eastAsia="zh-CN"/>
        </w:rPr>
        <w:t>00元。执行单位：市纪委</w:t>
      </w:r>
      <w:r>
        <w:rPr>
          <w:rFonts w:hint="eastAsia" w:ascii="仿宋_GB2312" w:hAnsi="仿宋_GB2312" w:eastAsia="仿宋_GB2312" w:cs="仿宋_GB2312"/>
          <w:color w:val="000000"/>
          <w:sz w:val="32"/>
          <w:szCs w:val="32"/>
          <w:highlight w:val="none"/>
          <w:lang w:val="en-US" w:eastAsia="zh-CN"/>
        </w:rPr>
        <w:t>监委机关和市委巡察办</w:t>
      </w:r>
      <w:r>
        <w:rPr>
          <w:rFonts w:hint="default" w:ascii="仿宋_GB2312" w:hAnsi="仿宋_GB2312" w:eastAsia="仿宋_GB2312" w:cs="仿宋_GB2312"/>
          <w:color w:val="000000"/>
          <w:sz w:val="32"/>
          <w:szCs w:val="32"/>
          <w:highlight w:val="none"/>
          <w:lang w:eastAsia="zh-CN"/>
        </w:rPr>
        <w:t>；</w:t>
      </w:r>
    </w:p>
    <w:p w14:paraId="4B908EA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三档：年人均</w:t>
      </w:r>
      <w:r>
        <w:rPr>
          <w:rFonts w:hint="default" w:ascii="仿宋_GB2312" w:hAnsi="仿宋_GB2312" w:eastAsia="仿宋_GB2312" w:cs="仿宋_GB2312"/>
          <w:color w:val="000000"/>
          <w:sz w:val="32"/>
          <w:szCs w:val="32"/>
          <w:highlight w:val="none"/>
          <w:lang w:eastAsia="zh-CN"/>
        </w:rPr>
        <w:t>179</w:t>
      </w:r>
      <w:r>
        <w:rPr>
          <w:rFonts w:hint="eastAsia" w:ascii="仿宋_GB2312" w:hAnsi="仿宋_GB2312" w:eastAsia="仿宋_GB2312" w:cs="仿宋_GB2312"/>
          <w:color w:val="000000"/>
          <w:sz w:val="32"/>
          <w:szCs w:val="32"/>
          <w:highlight w:val="none"/>
          <w:lang w:val="en-US" w:eastAsia="zh-CN"/>
        </w:rPr>
        <w:t>00元。执行单位：市司法局；</w:t>
      </w:r>
    </w:p>
    <w:p w14:paraId="52C076E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四档：年人均1</w:t>
      </w:r>
      <w:r>
        <w:rPr>
          <w:rFonts w:hint="default" w:ascii="仿宋_GB2312" w:hAnsi="仿宋_GB2312" w:eastAsia="仿宋_GB2312" w:cs="仿宋_GB2312"/>
          <w:color w:val="000000"/>
          <w:sz w:val="32"/>
          <w:szCs w:val="32"/>
          <w:highlight w:val="none"/>
          <w:lang w:eastAsia="zh-CN"/>
        </w:rPr>
        <w:t>62</w:t>
      </w:r>
      <w:r>
        <w:rPr>
          <w:rFonts w:hint="eastAsia" w:ascii="仿宋_GB2312" w:hAnsi="仿宋_GB2312" w:eastAsia="仿宋_GB2312" w:cs="仿宋_GB2312"/>
          <w:color w:val="000000"/>
          <w:sz w:val="32"/>
          <w:szCs w:val="32"/>
          <w:highlight w:val="none"/>
          <w:lang w:val="en-US" w:eastAsia="zh-CN"/>
        </w:rPr>
        <w:t>00元。执行单位：市“四大家”</w:t>
      </w:r>
      <w:r>
        <w:rPr>
          <w:rFonts w:hint="default"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高新区、乡镇</w:t>
      </w:r>
      <w:r>
        <w:rPr>
          <w:rFonts w:hint="eastAsia" w:ascii="仿宋_GB2312" w:hAnsi="仿宋_GB2312" w:eastAsia="仿宋_GB2312" w:cs="仿宋_GB2312"/>
          <w:color w:val="000000"/>
          <w:sz w:val="32"/>
          <w:szCs w:val="32"/>
          <w:highlight w:val="none"/>
          <w:u w:val="none"/>
          <w:lang w:val="en-US" w:eastAsia="zh-CN"/>
        </w:rPr>
        <w:t>（场）、街道本</w:t>
      </w:r>
      <w:r>
        <w:rPr>
          <w:rFonts w:hint="eastAsia" w:ascii="仿宋_GB2312" w:hAnsi="仿宋_GB2312" w:eastAsia="仿宋_GB2312" w:cs="仿宋_GB2312"/>
          <w:color w:val="000000"/>
          <w:sz w:val="32"/>
          <w:szCs w:val="32"/>
          <w:highlight w:val="none"/>
          <w:lang w:val="en-US" w:eastAsia="zh-CN"/>
        </w:rPr>
        <w:t>级；</w:t>
      </w:r>
    </w:p>
    <w:p w14:paraId="68ED094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五档：年人均1</w:t>
      </w:r>
      <w:r>
        <w:rPr>
          <w:rFonts w:hint="default" w:ascii="仿宋_GB2312" w:hAnsi="仿宋_GB2312" w:eastAsia="仿宋_GB2312" w:cs="仿宋_GB2312"/>
          <w:color w:val="000000"/>
          <w:sz w:val="32"/>
          <w:szCs w:val="32"/>
          <w:lang w:eastAsia="zh-CN"/>
        </w:rPr>
        <w:t>22</w:t>
      </w:r>
      <w:r>
        <w:rPr>
          <w:rFonts w:hint="eastAsia" w:ascii="仿宋_GB2312" w:hAnsi="仿宋_GB2312" w:eastAsia="仿宋_GB2312" w:cs="仿宋_GB2312"/>
          <w:color w:val="000000"/>
          <w:sz w:val="32"/>
          <w:szCs w:val="32"/>
          <w:lang w:val="en-US" w:eastAsia="zh-CN"/>
        </w:rPr>
        <w:t>00元。执行单位：一级预算单位（行政、参公单位）；</w:t>
      </w:r>
    </w:p>
    <w:p w14:paraId="6B1ED7E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六档：年人均</w:t>
      </w:r>
      <w:r>
        <w:rPr>
          <w:rFonts w:hint="default" w:ascii="仿宋_GB2312" w:hAnsi="仿宋_GB2312" w:eastAsia="仿宋_GB2312" w:cs="仿宋_GB2312"/>
          <w:color w:val="000000"/>
          <w:sz w:val="32"/>
          <w:szCs w:val="32"/>
          <w:lang w:eastAsia="zh-CN"/>
        </w:rPr>
        <w:t>81</w:t>
      </w:r>
      <w:r>
        <w:rPr>
          <w:rFonts w:hint="eastAsia" w:ascii="仿宋_GB2312" w:hAnsi="仿宋_GB2312" w:eastAsia="仿宋_GB2312" w:cs="仿宋_GB2312"/>
          <w:color w:val="000000"/>
          <w:sz w:val="32"/>
          <w:szCs w:val="32"/>
          <w:lang w:val="en-US" w:eastAsia="zh-CN"/>
        </w:rPr>
        <w:t>00元。执行单位：二级预算单位（下属事业单位</w:t>
      </w:r>
      <w:r>
        <w:rPr>
          <w:rFonts w:hint="default" w:ascii="仿宋_GB2312" w:hAnsi="仿宋_GB2312" w:eastAsia="仿宋_GB2312" w:cs="仿宋_GB2312"/>
          <w:color w:val="000000"/>
          <w:sz w:val="32"/>
          <w:szCs w:val="32"/>
          <w:lang w:eastAsia="zh-CN"/>
        </w:rPr>
        <w:t>，另</w:t>
      </w:r>
      <w:r>
        <w:rPr>
          <w:rFonts w:hint="eastAsia" w:ascii="仿宋_GB2312" w:hAnsi="仿宋_GB2312" w:eastAsia="仿宋_GB2312" w:cs="仿宋_GB2312"/>
          <w:color w:val="000000"/>
          <w:sz w:val="32"/>
          <w:szCs w:val="32"/>
          <w:lang w:val="en-US" w:eastAsia="zh-CN"/>
        </w:rPr>
        <w:t>含乡镇中心学校核批的管理人员）</w:t>
      </w:r>
      <w:r>
        <w:rPr>
          <w:rFonts w:hint="default" w:ascii="仿宋_GB2312" w:hAnsi="仿宋_GB2312" w:eastAsia="仿宋_GB2312" w:cs="仿宋_GB2312"/>
          <w:color w:val="000000"/>
          <w:sz w:val="32"/>
          <w:szCs w:val="32"/>
          <w:lang w:eastAsia="zh-CN"/>
        </w:rPr>
        <w:t>。</w:t>
      </w:r>
    </w:p>
    <w:p w14:paraId="67D0578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日常公用经费按编制部门核定的编制数结合在职人员数计算。编制数以内的，按实际在职人员数计算；超编单位的超编人数按上述标准的70%计算；正科级及以上预算单位人数不足10人的，按10人计算。</w:t>
      </w:r>
    </w:p>
    <w:p w14:paraId="6B87FF89">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b/>
          <w:bCs/>
          <w:color w:val="000000"/>
          <w:sz w:val="32"/>
          <w:szCs w:val="32"/>
          <w:lang w:eastAsia="zh-CN"/>
        </w:rPr>
        <w:t>学校公用经费。</w:t>
      </w:r>
      <w:r>
        <w:rPr>
          <w:rFonts w:hint="default" w:ascii="仿宋_GB2312" w:hAnsi="仿宋_GB2312" w:eastAsia="仿宋_GB2312" w:cs="仿宋_GB2312"/>
          <w:color w:val="000000"/>
          <w:sz w:val="32"/>
          <w:szCs w:val="32"/>
          <w:lang w:eastAsia="zh-CN"/>
        </w:rPr>
        <w:t>公办幼儿园按</w:t>
      </w:r>
      <w:r>
        <w:rPr>
          <w:rFonts w:hint="default" w:ascii="仿宋_GB2312" w:hAnsi="仿宋_GB2312" w:eastAsia="仿宋_GB2312" w:cs="仿宋_GB2312"/>
          <w:color w:val="000000"/>
          <w:sz w:val="32"/>
          <w:szCs w:val="32"/>
          <w:highlight w:val="none"/>
          <w:u w:val="none"/>
          <w:lang w:eastAsia="zh-CN"/>
        </w:rPr>
        <w:t>每生每年</w:t>
      </w:r>
      <w:r>
        <w:rPr>
          <w:rFonts w:hint="eastAsia" w:ascii="仿宋_GB2312" w:hAnsi="仿宋_GB2312" w:eastAsia="仿宋_GB2312" w:cs="仿宋_GB2312"/>
          <w:color w:val="000000"/>
          <w:sz w:val="32"/>
          <w:szCs w:val="32"/>
          <w:highlight w:val="none"/>
          <w:u w:val="none"/>
          <w:lang w:val="en-US" w:eastAsia="zh-CN"/>
        </w:rPr>
        <w:t>600</w:t>
      </w:r>
      <w:r>
        <w:rPr>
          <w:rFonts w:hint="default" w:ascii="仿宋_GB2312" w:hAnsi="仿宋_GB2312" w:eastAsia="仿宋_GB2312" w:cs="仿宋_GB2312"/>
          <w:color w:val="000000"/>
          <w:sz w:val="32"/>
          <w:szCs w:val="32"/>
          <w:highlight w:val="none"/>
          <w:u w:val="none"/>
          <w:lang w:eastAsia="zh-CN"/>
        </w:rPr>
        <w:t>元</w:t>
      </w:r>
      <w:r>
        <w:rPr>
          <w:rFonts w:hint="default" w:ascii="仿宋_GB2312" w:hAnsi="仿宋_GB2312" w:eastAsia="仿宋_GB2312" w:cs="仿宋_GB2312"/>
          <w:color w:val="000000"/>
          <w:sz w:val="32"/>
          <w:szCs w:val="32"/>
          <w:lang w:eastAsia="zh-CN"/>
        </w:rPr>
        <w:t>（不足90人公立幼儿园按补差后人数计算）</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lang w:eastAsia="zh-CN"/>
        </w:rPr>
        <w:t>小学和初中分别按每生每年720元和940元（不足整百人义务教育学校按补差后人数计算），另对寄宿制学校寄宿生年生均增加300元；高中和中专按每生每年1200元；特殊教育学校和随班就读残疾学生按每生每年</w:t>
      </w:r>
      <w:r>
        <w:rPr>
          <w:rFonts w:hint="eastAsia" w:ascii="仿宋_GB2312" w:hAnsi="仿宋_GB2312" w:eastAsia="仿宋_GB2312" w:cs="仿宋_GB2312"/>
          <w:color w:val="000000"/>
          <w:sz w:val="32"/>
          <w:szCs w:val="32"/>
          <w:u w:val="none"/>
          <w:lang w:val="en-US" w:eastAsia="zh-CN"/>
        </w:rPr>
        <w:t>7000</w:t>
      </w:r>
      <w:r>
        <w:rPr>
          <w:rFonts w:hint="default" w:ascii="仿宋_GB2312" w:hAnsi="仿宋_GB2312" w:eastAsia="仿宋_GB2312" w:cs="仿宋_GB2312"/>
          <w:color w:val="000000"/>
          <w:sz w:val="32"/>
          <w:szCs w:val="32"/>
          <w:u w:val="none"/>
          <w:lang w:eastAsia="zh-CN"/>
        </w:rPr>
        <w:t>元</w:t>
      </w:r>
      <w:r>
        <w:rPr>
          <w:rFonts w:hint="eastAsia" w:ascii="仿宋_GB2312" w:hAnsi="仿宋_GB2312" w:eastAsia="仿宋_GB2312" w:cs="仿宋_GB2312"/>
          <w:color w:val="000000"/>
          <w:sz w:val="32"/>
          <w:szCs w:val="32"/>
          <w:lang w:val="en-US" w:eastAsia="zh-CN"/>
        </w:rPr>
        <w:t>计算</w:t>
      </w:r>
      <w:r>
        <w:rPr>
          <w:rFonts w:hint="default" w:ascii="仿宋_GB2312" w:hAnsi="仿宋_GB2312" w:eastAsia="仿宋_GB2312" w:cs="仿宋_GB2312"/>
          <w:color w:val="000000"/>
          <w:sz w:val="32"/>
          <w:szCs w:val="32"/>
          <w:lang w:eastAsia="zh-CN"/>
        </w:rPr>
        <w:t>（不重复）。</w:t>
      </w:r>
    </w:p>
    <w:p w14:paraId="6DCCB802">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公务用车运行维护费。</w:t>
      </w:r>
      <w:r>
        <w:rPr>
          <w:rFonts w:hint="eastAsia" w:ascii="仿宋_GB2312" w:hAnsi="仿宋_GB2312" w:eastAsia="仿宋_GB2312" w:cs="仿宋_GB2312"/>
          <w:color w:val="000000"/>
          <w:sz w:val="32"/>
          <w:szCs w:val="32"/>
          <w:lang w:val="en-US" w:eastAsia="zh-CN"/>
        </w:rPr>
        <w:t>依照公车改革后核定的保留车辆数，按每台车每年40000元计算。</w:t>
      </w:r>
    </w:p>
    <w:p w14:paraId="70343317">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公务交通补贴。</w:t>
      </w:r>
      <w:r>
        <w:rPr>
          <w:rFonts w:hint="eastAsia" w:ascii="仿宋_GB2312" w:hAnsi="仿宋_GB2312" w:eastAsia="仿宋_GB2312" w:cs="仿宋_GB2312"/>
          <w:color w:val="000000"/>
          <w:sz w:val="32"/>
          <w:szCs w:val="32"/>
          <w:lang w:val="en-US" w:eastAsia="zh-CN"/>
        </w:rPr>
        <w:t>按照冶办发〔2016〕38号、冶车改办〔2019〕1号文件规定执行，公务交通补贴按规定的发放范围和标准填报。</w:t>
      </w:r>
    </w:p>
    <w:p w14:paraId="48FF2A48">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乡村振兴驻村工作经费。</w:t>
      </w:r>
      <w:r>
        <w:rPr>
          <w:rFonts w:hint="eastAsia" w:ascii="仿宋_GB2312" w:hAnsi="仿宋_GB2312" w:eastAsia="仿宋_GB2312" w:cs="仿宋_GB2312"/>
          <w:color w:val="000000"/>
          <w:sz w:val="32"/>
          <w:szCs w:val="32"/>
          <w:u w:val="none"/>
          <w:lang w:val="en-US" w:eastAsia="zh-CN"/>
        </w:rPr>
        <w:t>按照</w:t>
      </w:r>
      <w:r>
        <w:rPr>
          <w:rFonts w:hint="eastAsia" w:ascii="仿宋_GB2312" w:hAnsi="仿宋_GB2312" w:eastAsia="仿宋_GB2312" w:cs="仿宋_GB2312"/>
          <w:color w:val="000000"/>
          <w:sz w:val="32"/>
          <w:szCs w:val="32"/>
          <w:highlight w:val="none"/>
          <w:u w:val="none"/>
          <w:lang w:val="en-US" w:eastAsia="zh-CN"/>
        </w:rPr>
        <w:t>市农业农村局（</w:t>
      </w:r>
      <w:r>
        <w:rPr>
          <w:rFonts w:hint="eastAsia" w:ascii="仿宋_GB2312" w:hAnsi="仿宋_GB2312" w:eastAsia="仿宋_GB2312" w:cs="仿宋_GB2312"/>
          <w:color w:val="000000"/>
          <w:sz w:val="32"/>
          <w:szCs w:val="32"/>
          <w:u w:val="none"/>
          <w:lang w:val="en-US" w:eastAsia="zh-CN"/>
        </w:rPr>
        <w:t>乡村振兴局）核定的驻村工作队员人数，按每人每年20000元计算。</w:t>
      </w:r>
    </w:p>
    <w:p w14:paraId="6FE6C3D2">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工会经费。</w:t>
      </w:r>
      <w:r>
        <w:rPr>
          <w:rFonts w:hint="eastAsia" w:ascii="仿宋_GB2312" w:hAnsi="仿宋_GB2312" w:eastAsia="仿宋_GB2312" w:cs="仿宋_GB2312"/>
          <w:color w:val="000000"/>
          <w:sz w:val="32"/>
          <w:szCs w:val="32"/>
          <w:lang w:val="en-US" w:eastAsia="zh-CN"/>
        </w:rPr>
        <w:t>按在职人员基本工资、绩效工资、津贴补贴（</w:t>
      </w:r>
      <w:r>
        <w:rPr>
          <w:rFonts w:hint="eastAsia" w:ascii="仿宋_GB2312" w:hAnsi="仿宋_GB2312" w:eastAsia="仿宋_GB2312" w:cs="仿宋_GB2312"/>
          <w:color w:val="auto"/>
          <w:sz w:val="32"/>
          <w:szCs w:val="32"/>
          <w:u w:val="none"/>
          <w:lang w:val="en-US" w:eastAsia="zh-CN"/>
        </w:rPr>
        <w:t>不含伤残保健金</w:t>
      </w:r>
      <w:r>
        <w:rPr>
          <w:rFonts w:hint="eastAsia" w:ascii="仿宋_GB2312" w:hAnsi="仿宋_GB2312" w:eastAsia="仿宋_GB2312" w:cs="仿宋_GB2312"/>
          <w:color w:val="000000"/>
          <w:sz w:val="32"/>
          <w:szCs w:val="32"/>
          <w:lang w:val="en-US" w:eastAsia="zh-CN"/>
        </w:rPr>
        <w:t>）全年之和的2%计算。</w:t>
      </w:r>
    </w:p>
    <w:p w14:paraId="0BA680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（2）离退休人员公用经费</w:t>
      </w:r>
    </w:p>
    <w:p w14:paraId="65FC853B">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离休人员日常公用经费。</w:t>
      </w:r>
      <w:r>
        <w:rPr>
          <w:rFonts w:hint="eastAsia" w:ascii="仿宋_GB2312" w:hAnsi="仿宋_GB2312" w:eastAsia="仿宋_GB2312" w:cs="仿宋_GB2312"/>
          <w:color w:val="000000"/>
          <w:sz w:val="32"/>
          <w:szCs w:val="32"/>
          <w:lang w:val="en-US" w:eastAsia="zh-CN"/>
        </w:rPr>
        <w:t>按照鄂组通〔2005〕4号文件1500元/人年核定，其中部门预算列1200元/人年，组织部门集中列300元/人年；另按照鄂人〔2002〕29号文件安排特需经费500元/人年。</w:t>
      </w:r>
    </w:p>
    <w:p w14:paraId="4F567C3A">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离休人员交通费。</w:t>
      </w:r>
      <w:r>
        <w:rPr>
          <w:rFonts w:hint="eastAsia" w:ascii="仿宋_GB2312" w:hAnsi="仿宋_GB2312" w:eastAsia="仿宋_GB2312" w:cs="仿宋_GB2312"/>
          <w:color w:val="000000"/>
          <w:sz w:val="32"/>
          <w:szCs w:val="32"/>
          <w:lang w:val="en-US" w:eastAsia="zh-CN"/>
        </w:rPr>
        <w:t>根据鄂发〔1993〕23号文件规定，县级、副县级（含享受）离休干部每人每月30元、其他离休人员按每人每月20元计算。</w:t>
      </w:r>
    </w:p>
    <w:p w14:paraId="434A65FB">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退休人员日常公用经费。</w:t>
      </w:r>
      <w:r>
        <w:rPr>
          <w:rFonts w:hint="eastAsia" w:ascii="仿宋_GB2312" w:hAnsi="仿宋_GB2312" w:eastAsia="仿宋_GB2312" w:cs="仿宋_GB2312"/>
          <w:color w:val="000000"/>
          <w:sz w:val="32"/>
          <w:szCs w:val="32"/>
          <w:lang w:val="en-US" w:eastAsia="zh-CN"/>
        </w:rPr>
        <w:t>按照冶办发〔2018〕21号文件1000元/人年核定，其中副县级及以上（含享受）部门预算列800元/人年，组织部门集中列200元/人年。</w:t>
      </w:r>
    </w:p>
    <w:p w14:paraId="135F9283">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离退休党员工作经费。</w:t>
      </w:r>
      <w:r>
        <w:rPr>
          <w:rFonts w:hint="eastAsia" w:ascii="仿宋_GB2312" w:hAnsi="仿宋_GB2312" w:eastAsia="仿宋_GB2312" w:cs="仿宋_GB2312"/>
          <w:color w:val="000000"/>
          <w:sz w:val="32"/>
          <w:szCs w:val="32"/>
          <w:lang w:val="en-US" w:eastAsia="zh-CN"/>
        </w:rPr>
        <w:t>按离退休党员人数每人每年300元计算。</w:t>
      </w:r>
    </w:p>
    <w:p w14:paraId="50408D4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以上涉及企业离休人员日常公用经费的，列入该企业主管部门本级预算。</w:t>
      </w:r>
    </w:p>
    <w:p w14:paraId="4118F3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5" w:name="_Hlk89719778"/>
      <w:r>
        <w:rPr>
          <w:rFonts w:hint="eastAsia" w:ascii="仿宋_GB2312" w:hAnsi="仿宋_GB2312" w:eastAsia="仿宋_GB2312" w:cs="仿宋_GB2312"/>
          <w:b/>
          <w:bCs/>
          <w:sz w:val="32"/>
          <w:szCs w:val="32"/>
        </w:rPr>
        <w:t>3.其他运转类项目支出编报</w:t>
      </w:r>
      <w:bookmarkEnd w:id="5"/>
    </w:p>
    <w:p w14:paraId="632F0B9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lang w:val="en-US" w:eastAsia="zh-CN"/>
        </w:rPr>
        <w:t>专指以各类大型专用资产为计算对象，如大型公用设施、大型专用设备、专用信息系统等运转维护的项目支出。</w:t>
      </w:r>
      <w:r>
        <w:rPr>
          <w:rFonts w:hint="eastAsia" w:ascii="仿宋_GB2312" w:hAnsi="仿宋_GB2312" w:eastAsia="仿宋_GB2312" w:cs="仿宋_GB2312"/>
          <w:color w:val="000000"/>
          <w:sz w:val="32"/>
          <w:szCs w:val="32"/>
          <w:u w:val="none"/>
          <w:lang w:val="en-US" w:eastAsia="zh-CN"/>
        </w:rPr>
        <w:t>该类项目支出标准一般参照相关行业的法定或固定标准，结合单位专用资产实际和市场价格确定，暂无可适用的法定或固定标准的，由部门制定暂定标准。项目支出一般按照相关规定要求和程序采购后，以签订的合同或协议为准。</w:t>
      </w:r>
    </w:p>
    <w:p w14:paraId="68774D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4.特定目标类项目支出编报</w:t>
      </w:r>
    </w:p>
    <w:p w14:paraId="44706FD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default" w:ascii="仿宋_GB2312" w:hAnsi="仿宋_GB2312" w:eastAsia="仿宋_GB2312" w:cs="仿宋_GB2312"/>
          <w:color w:val="000000"/>
          <w:sz w:val="32"/>
          <w:szCs w:val="32"/>
          <w:lang w:eastAsia="zh-CN"/>
        </w:rPr>
        <w:t>认真</w:t>
      </w:r>
      <w:r>
        <w:rPr>
          <w:rFonts w:hint="eastAsia" w:ascii="仿宋_GB2312" w:hAnsi="仿宋_GB2312" w:eastAsia="仿宋_GB2312" w:cs="仿宋_GB2312"/>
          <w:color w:val="000000"/>
          <w:sz w:val="32"/>
          <w:szCs w:val="32"/>
          <w:lang w:val="en-US" w:eastAsia="zh-CN"/>
        </w:rPr>
        <w:t>贯彻落实党中央、国务院关于党政</w:t>
      </w:r>
      <w:r>
        <w:rPr>
          <w:rFonts w:hint="default" w:ascii="仿宋_GB2312" w:hAnsi="仿宋_GB2312" w:eastAsia="仿宋_GB2312" w:cs="仿宋_GB2312"/>
          <w:color w:val="000000"/>
          <w:sz w:val="32"/>
          <w:szCs w:val="32"/>
          <w:lang w:eastAsia="zh-CN"/>
        </w:rPr>
        <w:t>机关过</w:t>
      </w:r>
      <w:r>
        <w:rPr>
          <w:rFonts w:hint="eastAsia" w:ascii="仿宋_GB2312" w:hAnsi="仿宋_GB2312" w:eastAsia="仿宋_GB2312" w:cs="仿宋_GB2312"/>
          <w:color w:val="000000"/>
          <w:sz w:val="32"/>
          <w:szCs w:val="32"/>
          <w:lang w:val="en-US" w:eastAsia="zh-CN"/>
        </w:rPr>
        <w:t>“紧日子”</w:t>
      </w:r>
      <w:r>
        <w:rPr>
          <w:rFonts w:hint="default" w:ascii="仿宋_GB2312" w:hAnsi="仿宋_GB2312" w:eastAsia="仿宋_GB2312" w:cs="仿宋_GB2312"/>
          <w:color w:val="000000"/>
          <w:sz w:val="32"/>
          <w:szCs w:val="32"/>
          <w:lang w:eastAsia="zh-CN"/>
        </w:rPr>
        <w:t>相关</w:t>
      </w:r>
      <w:r>
        <w:rPr>
          <w:rFonts w:hint="eastAsia" w:ascii="仿宋_GB2312" w:hAnsi="仿宋_GB2312" w:eastAsia="仿宋_GB2312" w:cs="仿宋_GB2312"/>
          <w:color w:val="000000"/>
          <w:sz w:val="32"/>
          <w:szCs w:val="32"/>
          <w:lang w:val="en-US" w:eastAsia="zh-CN"/>
        </w:rPr>
        <w:t>要求，严格控制和压减一般性支出。2026年部门预算一般性支出，不得超过上年规模。部门预算要根据法律法规、政策规定，围绕</w:t>
      </w:r>
      <w:r>
        <w:rPr>
          <w:rFonts w:hint="eastAsia" w:ascii="仿宋_GB2312" w:hAnsi="仿宋_GB2312" w:eastAsia="仿宋_GB2312" w:cs="仿宋_GB2312"/>
          <w:color w:val="000000"/>
          <w:sz w:val="32"/>
          <w:szCs w:val="32"/>
          <w:highlight w:val="none"/>
          <w:lang w:val="en-US" w:eastAsia="zh-CN"/>
        </w:rPr>
        <w:t>市委、市政府</w:t>
      </w:r>
      <w:r>
        <w:rPr>
          <w:rFonts w:hint="eastAsia" w:ascii="仿宋_GB2312" w:hAnsi="仿宋_GB2312" w:eastAsia="仿宋_GB2312" w:cs="仿宋_GB2312"/>
          <w:color w:val="000000"/>
          <w:sz w:val="32"/>
          <w:szCs w:val="32"/>
          <w:lang w:val="en-US" w:eastAsia="zh-CN"/>
        </w:rPr>
        <w:t>年度工作目标，结合部门单位事业发展规划，提前谋划分年度项目支出和资金需求，按照轻重缓急排序，准确、完整编报2026年度特定目标类项目支出。</w:t>
      </w:r>
      <w:r>
        <w:rPr>
          <w:rFonts w:hint="eastAsia" w:ascii="仿宋_GB2312" w:hAnsi="仿宋_GB2312" w:eastAsia="仿宋_GB2312" w:cs="仿宋_GB2312"/>
          <w:color w:val="000000"/>
          <w:sz w:val="32"/>
          <w:szCs w:val="32"/>
          <w:u w:val="none"/>
          <w:lang w:val="en-US" w:eastAsia="zh-CN"/>
        </w:rPr>
        <w:t>项目支出明细测算情况应细化，明确测算依据及相关支出标准。该类项目支出标准一般参照相关行业的法定或固定标准，结合该领域具体工作和市场价格测算，会同财政部门评估确定，暂无可适用的法定或固定标准的，由部门制定暂定标准。</w:t>
      </w:r>
      <w:r>
        <w:rPr>
          <w:rFonts w:hint="eastAsia" w:ascii="仿宋_GB2312" w:hAnsi="仿宋_GB2312" w:eastAsia="仿宋_GB2312" w:cs="仿宋_GB2312"/>
          <w:color w:val="000000"/>
          <w:sz w:val="32"/>
          <w:szCs w:val="32"/>
          <w:highlight w:val="none"/>
          <w:u w:val="none"/>
          <w:lang w:val="en-US" w:eastAsia="zh-CN"/>
        </w:rPr>
        <w:t>纳入事前绩效评估范围的项目必须严格按照要求开展评估，评估结果通过的，评估情况和项目支出明细测算情况均作为审核项目入库的重要参考，评估情况不理想或测算不合理的将相应核减项目金额。</w:t>
      </w:r>
    </w:p>
    <w:p w14:paraId="48FE940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事业单位开展专项业务活动及其辅助活动，或开展经营活动的，列特定目标类项目支出。</w:t>
      </w:r>
    </w:p>
    <w:p w14:paraId="78911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lang w:val="en-US" w:eastAsia="zh-CN"/>
        </w:rPr>
        <w:t>预算执行中</w:t>
      </w:r>
      <w:r>
        <w:rPr>
          <w:rFonts w:hint="eastAsia" w:ascii="仿宋_GB2312" w:hAnsi="仿宋_GB2312" w:eastAsia="仿宋_GB2312" w:cs="仿宋_GB2312"/>
          <w:color w:val="000000"/>
          <w:sz w:val="32"/>
          <w:szCs w:val="32"/>
          <w:highlight w:val="none"/>
          <w:lang w:val="en-US" w:eastAsia="zh-CN"/>
        </w:rPr>
        <w:t>，除中央、省和市委、市政府新出台重大政策、重大改革等必须安排项目外，其他年初预算之外的新增项目</w:t>
      </w:r>
      <w:r>
        <w:rPr>
          <w:rFonts w:hint="eastAsia" w:ascii="仿宋_GB2312" w:hAnsi="仿宋_GB2312" w:eastAsia="仿宋_GB2312" w:cs="仿宋_GB2312"/>
          <w:color w:val="000000"/>
          <w:sz w:val="32"/>
          <w:szCs w:val="32"/>
          <w:lang w:val="en-US" w:eastAsia="zh-CN"/>
        </w:rPr>
        <w:t>原则上在单位预算支出控制数内调剂使用，或通过以后年度预算安排支出。</w:t>
      </w:r>
    </w:p>
    <w:p w14:paraId="01811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7B4360-105C-447B-97AE-3C65C33886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053A948-48FD-49B8-B5D7-FBEE2F560E09}"/>
  </w:font>
  <w:font w:name="方正小标宋简体">
    <w:panose1 w:val="03000509000000000000"/>
    <w:charset w:val="86"/>
    <w:family w:val="auto"/>
    <w:pitch w:val="default"/>
    <w:sig w:usb0="00000001" w:usb1="080E0000" w:usb2="00000000" w:usb3="00000000" w:csb0="00040000" w:csb1="00000000"/>
    <w:embedRegular r:id="rId3" w:fontKey="{10E53BB8-C846-4F9D-A58D-816E9B65E14E}"/>
  </w:font>
  <w:font w:name="楷体_GB2312">
    <w:panose1 w:val="02010609030101010101"/>
    <w:charset w:val="86"/>
    <w:family w:val="modern"/>
    <w:pitch w:val="default"/>
    <w:sig w:usb0="00000001" w:usb1="080E0000" w:usb2="00000000" w:usb3="00000000" w:csb0="00040000" w:csb1="00000000"/>
    <w:embedRegular r:id="rId4" w:fontKey="{1C5671E9-59BE-4C9C-B104-C6F3BB9F3A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OThlNjcxOTUwM2QyOTk5OTEwMjNhYTdhYmU4MjAifQ=="/>
    <w:docVar w:name="KSO_WPS_MARK_KEY" w:val="ddeb2713-f123-4c9b-9d3c-a993f7d61363"/>
  </w:docVars>
  <w:rsids>
    <w:rsidRoot w:val="7AB23FB3"/>
    <w:rsid w:val="00054994"/>
    <w:rsid w:val="00231853"/>
    <w:rsid w:val="00245D86"/>
    <w:rsid w:val="00384CFA"/>
    <w:rsid w:val="005573CD"/>
    <w:rsid w:val="00B4262D"/>
    <w:rsid w:val="00D338A5"/>
    <w:rsid w:val="00D82F5E"/>
    <w:rsid w:val="00EA6F71"/>
    <w:rsid w:val="06C51A61"/>
    <w:rsid w:val="09807EBE"/>
    <w:rsid w:val="0F1D1B2D"/>
    <w:rsid w:val="0F965F7A"/>
    <w:rsid w:val="14023158"/>
    <w:rsid w:val="1BC95A92"/>
    <w:rsid w:val="1C870FBF"/>
    <w:rsid w:val="1E0A716D"/>
    <w:rsid w:val="1E1D56A5"/>
    <w:rsid w:val="1E5170FD"/>
    <w:rsid w:val="206E06FD"/>
    <w:rsid w:val="2593017E"/>
    <w:rsid w:val="25A93E24"/>
    <w:rsid w:val="25DF25F8"/>
    <w:rsid w:val="25FE400E"/>
    <w:rsid w:val="297168A5"/>
    <w:rsid w:val="29DA05CA"/>
    <w:rsid w:val="2DDB1227"/>
    <w:rsid w:val="305D0F77"/>
    <w:rsid w:val="317C5966"/>
    <w:rsid w:val="339E4BD1"/>
    <w:rsid w:val="36B461AB"/>
    <w:rsid w:val="36ED768D"/>
    <w:rsid w:val="373C3243"/>
    <w:rsid w:val="3C31001D"/>
    <w:rsid w:val="3D960B78"/>
    <w:rsid w:val="41766B3D"/>
    <w:rsid w:val="42B304F6"/>
    <w:rsid w:val="457B0D80"/>
    <w:rsid w:val="46D73F67"/>
    <w:rsid w:val="4B8E364A"/>
    <w:rsid w:val="4EF31D4F"/>
    <w:rsid w:val="5066262C"/>
    <w:rsid w:val="51686FCA"/>
    <w:rsid w:val="51AF395D"/>
    <w:rsid w:val="52037D14"/>
    <w:rsid w:val="528D719B"/>
    <w:rsid w:val="54F536CE"/>
    <w:rsid w:val="5ADE35AF"/>
    <w:rsid w:val="5BAB46D7"/>
    <w:rsid w:val="5BB64468"/>
    <w:rsid w:val="5C1A0B72"/>
    <w:rsid w:val="5EA507C4"/>
    <w:rsid w:val="607233C4"/>
    <w:rsid w:val="619A2136"/>
    <w:rsid w:val="62F31AFE"/>
    <w:rsid w:val="64067D8C"/>
    <w:rsid w:val="642A77A1"/>
    <w:rsid w:val="653C128D"/>
    <w:rsid w:val="668C3D21"/>
    <w:rsid w:val="6B2171C8"/>
    <w:rsid w:val="6F3E0C95"/>
    <w:rsid w:val="745D6D46"/>
    <w:rsid w:val="75574211"/>
    <w:rsid w:val="779A0D50"/>
    <w:rsid w:val="7A8A1DC1"/>
    <w:rsid w:val="7AB2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Calibri" w:hAnsi="Calibri" w:cs="黑体"/>
    </w:rPr>
  </w:style>
  <w:style w:type="paragraph" w:styleId="3">
    <w:name w:val="Body Text"/>
    <w:basedOn w:val="1"/>
    <w:next w:val="1"/>
    <w:qFormat/>
    <w:uiPriority w:val="0"/>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pPr>
    <w:rPr>
      <w:rFonts w:hint="eastAsia" w:ascii="Calibri" w:hAnsi="Calibri"/>
      <w:sz w:val="24"/>
    </w:rPr>
  </w:style>
  <w:style w:type="paragraph" w:customStyle="1" w:styleId="9">
    <w:name w:val="纯文本1"/>
    <w:basedOn w:val="1"/>
    <w:qFormat/>
    <w:uiPriority w:val="99"/>
    <w:rPr>
      <w:rFonts w:ascii="宋体" w:hAnsi="Courier New" w:cs="Courier New"/>
    </w:rPr>
  </w:style>
  <w:style w:type="paragraph" w:customStyle="1" w:styleId="10">
    <w:name w:val="正文文字"/>
    <w:basedOn w:val="11"/>
    <w:next w:val="1"/>
    <w:qFormat/>
    <w:uiPriority w:val="99"/>
    <w:pPr>
      <w:ind w:firstLine="200" w:firstLineChars="0"/>
    </w:pPr>
    <w:rPr>
      <w:rFonts w:ascii="仿宋_GB2312" w:eastAsia="仿宋_GB2312" w:cs="仿宋_GB2312"/>
    </w:rPr>
  </w:style>
  <w:style w:type="paragraph" w:customStyle="1" w:styleId="11">
    <w:name w:val="Body Text First Indent1"/>
    <w:basedOn w:val="3"/>
    <w:qFormat/>
    <w:uiPriority w:val="0"/>
    <w:pPr>
      <w:ind w:firstLine="420" w:firstLineChars="100"/>
    </w:pPr>
  </w:style>
  <w:style w:type="character" w:customStyle="1" w:styleId="12">
    <w:name w:val="页眉 字符"/>
    <w:basedOn w:val="8"/>
    <w:link w:val="5"/>
    <w:qFormat/>
    <w:uiPriority w:val="0"/>
    <w:rPr>
      <w:kern w:val="2"/>
      <w:sz w:val="18"/>
      <w:szCs w:val="18"/>
    </w:rPr>
  </w:style>
  <w:style w:type="character" w:customStyle="1" w:styleId="13">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4e57efea-10a1-4877-b7f7-47ec81b02755</errorID>
      <errorWord>习惯过紧日子</errorWord>
      <group>L1_Grammar</group>
      <groupName>语法问题</groupName>
      <ability>L2_Order</ability>
      <abilityName>语序不当</abilityName>
      <candidateList>
        <item>过紧日子的习惯</item>
      </candidateList>
      <explain>句子可能没有遵循时空、逻辑顺序，或者介词、关联词等位置不当。</explain>
      <paraID>4CF87B31</paraID>
      <start>9</start>
      <end>15</end>
      <status>ignored</status>
      <modifiedWord/>
      <trackRevisions>false</trackRevisions>
    </reviewItem>
    <reviewItem>
      <errorID>3097d424-5335-4e92-85fe-1c0fb570bcc8</errorID>
      <errorWord>可比增长</errorWord>
      <group>L1_Knowledge</group>
      <groupName>知识性问题</groupName>
      <ability>L2_Knowledge</ability>
      <abilityName>其他知识</abilityName>
      <candidateList>
        <item>同比增长</item>
      </candidateList>
      <explain/>
      <paraID>6A0643A5</paraID>
      <start>30</start>
      <end>34</end>
      <status>ignored</status>
      <modifiedWord/>
      <trackRevisions>false</trackRevisions>
    </reviewItem>
    <reviewItem>
      <errorID>bb1a1163-fea9-45de-a179-cd0e8ed89d08</errorID>
      <errorWord>可比增长</errorWord>
      <group>L1_Knowledge</group>
      <groupName>知识性问题</groupName>
      <ability>L2_Knowledge</ability>
      <abilityName>其他知识</abilityName>
      <candidateList>
        <item>同比增长</item>
      </candidateList>
      <explain/>
      <paraID>6A0643A5</paraID>
      <start>122</start>
      <end>126</end>
      <status>ignored</status>
      <modifiedWord/>
      <trackRevisions>false</trackRevisions>
    </reviewItem>
    <reviewItem>
      <errorID>def55dc2-5e7a-4f47-a693-18a90ccc5d75</errorID>
      <errorWord>支出中</errorWord>
      <group>L1_Word</group>
      <groupName>字词问题</groupName>
      <ability>L2_Typo</ability>
      <abilityName>字词错误</abilityName>
      <candidateList>
        <item>支出</item>
      </candidateList>
      <explain>❶〈动〉付出去；支付。❷〈名〉支付的款项：尽量控制非生产性的～。</explain>
      <paraID>58AAD0F8</paraID>
      <start>84</start>
      <end>87</end>
      <status>ignored</status>
      <modifiedWord/>
      <trackRevisions>false</trackRevisions>
    </reviewItem>
    <reviewItem>
      <errorID>1f3bd00f-7073-4aa8-b77f-91baf0c36bad</errorID>
      <errorWord>民师</errorWord>
      <group>L1_Word</group>
      <groupName>字词问题</groupName>
      <ability>L2_Typo</ability>
      <abilityName>字词错误</abilityName>
      <candidateList>
        <item>教师</item>
      </candidateList>
      <explain/>
      <paraID> DA207B5</paraID>
      <start>54</start>
      <end>56</end>
      <status>ignored</status>
      <modifiedWord/>
      <trackRevisions>false</trackRevisions>
    </reviewItem>
    <reviewItem>
      <errorID>af7aad7d-c23f-4703-86e0-78cd99f52deb</errorID>
      <errorWord>教护</errorWord>
      <group>L1_Word</group>
      <groupName>字词问题</groupName>
      <ability>L2_Typo</ability>
      <abilityName>字词错误</abilityName>
      <candidateList>
        <item>教</item>
      </candidateList>
      <explain/>
      <paraID>20D55DAA</paraID>
      <start>61</start>
      <end>63</end>
      <status>ignored</status>
      <modifiedWord/>
      <trackRevisions>false</trackRevisions>
    </reviewItem>
    <reviewItem>
      <errorID>f9c63be8-d6fc-4a6a-9590-3892d7d36612</errorID>
      <errorWord>列</errorWord>
      <group>L1_Word</group>
      <groupName>字词问题</groupName>
      <ability>L2_Typo</ability>
      <abilityName>字词错误</abilityName>
      <candidateList>
        <item>列入</item>
      </candidateList>
      <explain/>
      <paraID> 3D6574B</paraID>
      <start>117</start>
      <end>118</end>
      <status>ignored</status>
      <modifiedWord/>
      <trackRevisions>false</trackRevisions>
    </reviewItem>
    <reviewItem>
      <errorID>6a765f4c-06cf-440d-bae1-1ac05e69178a</errorID>
      <errorWord>离退休党员工作</errorWord>
      <group>L1_Political</group>
      <groupName>政治性问题</groupName>
      <ability>L2_Keyword</ability>
      <abilityName>固定表述</abilityName>
      <candidateList>
        <item>离退休干部工作</item>
      </candidateList>
      <explain>词汇“离退休干部工作”在特定场景下为固定表述形式，请确认此处的“离退休党员工作”是否存在不当。</explain>
      <paraID>135F9283</paraID>
      <start>0</start>
      <end>7</end>
      <status>ignored</status>
      <modifiedWord/>
      <trackRevisions>false</trackRevisions>
    </reviewItem>
    <reviewItem>
      <errorID>5b87707d-c1ef-49c1-ae63-21d07ae742c6</errorID>
      <errorWord>划分</errorWord>
      <group>L1_Word</group>
      <groupName>字词问题</groupName>
      <ability>L2_Typo</ability>
      <abilityName>字词错误</abilityName>
      <candidateList>
        <item>划</item>
      </candidateList>
      <explain/>
      <paraID>44706FD6</paraID>
      <start>115</start>
      <end>117</end>
      <status>ignored</status>
      <modifiedWord/>
      <trackRevisions>false</trackRevisions>
    </reviewItem>
  </reviewItems>
  <config/>
</contractReview>
</file>

<file path=customXml/itemProps1.xml><?xml version="1.0" encoding="utf-8"?>
<ds:datastoreItem xmlns:ds="http://schemas.openxmlformats.org/officeDocument/2006/customXml" ds:itemID="{bbab99a3-de85-40c0-9c0b-0704624b24d1}">
  <ds:schemaRefs/>
</ds:datastoreItem>
</file>

<file path=docProps/app.xml><?xml version="1.0" encoding="utf-8"?>
<Properties xmlns="http://schemas.openxmlformats.org/officeDocument/2006/extended-properties" xmlns:vt="http://schemas.openxmlformats.org/officeDocument/2006/docPropsVTypes">
  <Template>Normal</Template>
  <Pages>22</Pages>
  <Words>11319</Words>
  <Characters>11612</Characters>
  <Lines>83</Lines>
  <Paragraphs>23</Paragraphs>
  <TotalTime>0</TotalTime>
  <ScaleCrop>false</ScaleCrop>
  <LinksUpToDate>false</LinksUpToDate>
  <CharactersWithSpaces>11612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2023-12-18T11:38:00Z</dcterms:created>
  <dc:creator>admin</dc:creator>
  <cp:lastModifiedBy>翟中义。</cp:lastModifiedBy>
  <cp:lastPrinted>2025-12-23T03:56:00Z</cp:lastPrinted>
  <dcterms:modified xsi:type="dcterms:W3CDTF">2026-01-04T06:26:36Z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51D237E2484C46A185E3E6F8A19A117B_13</vt:lpwstr>
  </property>
  <property fmtid="{D5CDD505-2E9C-101B-9397-08002B2CF9AE}" pid="4" name="KSOTemplateDocerSaveRecord">
    <vt:lpwstr>eyJoZGlkIjoiMDc5NDVmM2JiYmJkMzBhYTE4ZmQ3MzFiYThhN2JmMzYiLCJ1c2VySWQiOiIyNzgxNTgzODkifQ==</vt:lpwstr>
  </property>
</Properties>
</file>