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07252C">
      <w:pPr>
        <w:spacing w:line="540" w:lineRule="exact"/>
        <w:ind w:firstLine="1767" w:firstLineChars="400"/>
        <w:rPr>
          <w:rFonts w:hint="eastAsia" w:ascii="黑体" w:hAnsi="黑体" w:eastAsia="黑体" w:cs="黑体"/>
          <w:b/>
          <w:color w:val="333333"/>
          <w:kern w:val="0"/>
          <w:sz w:val="44"/>
          <w:szCs w:val="44"/>
        </w:rPr>
      </w:pPr>
      <w:r>
        <w:rPr>
          <w:rFonts w:hint="eastAsia" w:ascii="黑体" w:hAnsi="黑体" w:eastAsia="黑体" w:cs="黑体"/>
          <w:b/>
          <w:color w:val="333333"/>
          <w:kern w:val="0"/>
          <w:sz w:val="44"/>
          <w:szCs w:val="44"/>
        </w:rPr>
        <w:t>大冶市202</w:t>
      </w:r>
      <w:r>
        <w:rPr>
          <w:rFonts w:hint="eastAsia" w:ascii="黑体" w:hAnsi="黑体" w:eastAsia="黑体" w:cs="黑体"/>
          <w:b/>
          <w:color w:val="333333"/>
          <w:kern w:val="0"/>
          <w:sz w:val="44"/>
          <w:szCs w:val="44"/>
          <w:lang w:val="en-US" w:eastAsia="zh-CN"/>
        </w:rPr>
        <w:t>5</w:t>
      </w:r>
      <w:r>
        <w:rPr>
          <w:rFonts w:hint="eastAsia" w:ascii="黑体" w:hAnsi="黑体" w:eastAsia="黑体" w:cs="黑体"/>
          <w:b/>
          <w:color w:val="333333"/>
          <w:kern w:val="0"/>
          <w:sz w:val="44"/>
          <w:szCs w:val="44"/>
        </w:rPr>
        <w:t>年第</w:t>
      </w:r>
      <w:r>
        <w:rPr>
          <w:rFonts w:hint="eastAsia" w:ascii="黑体" w:hAnsi="黑体" w:eastAsia="黑体" w:cs="黑体"/>
          <w:b/>
          <w:color w:val="333333"/>
          <w:kern w:val="0"/>
          <w:sz w:val="44"/>
          <w:szCs w:val="44"/>
          <w:lang w:val="en-US" w:eastAsia="zh-CN"/>
        </w:rPr>
        <w:t>6</w:t>
      </w:r>
      <w:r>
        <w:rPr>
          <w:rFonts w:hint="eastAsia" w:ascii="黑体" w:hAnsi="黑体" w:eastAsia="黑体" w:cs="黑体"/>
          <w:b/>
          <w:color w:val="333333"/>
          <w:kern w:val="0"/>
          <w:sz w:val="44"/>
          <w:szCs w:val="44"/>
        </w:rPr>
        <w:t>期国有</w:t>
      </w:r>
    </w:p>
    <w:p w14:paraId="268904A6">
      <w:pPr>
        <w:spacing w:line="540" w:lineRule="exact"/>
        <w:ind w:firstLine="883" w:firstLineChars="200"/>
        <w:rPr>
          <w:rFonts w:hint="eastAsia" w:ascii="黑体" w:hAnsi="黑体" w:eastAsia="黑体" w:cs="黑体"/>
          <w:b/>
          <w:color w:val="333333"/>
          <w:kern w:val="0"/>
          <w:sz w:val="36"/>
          <w:szCs w:val="36"/>
        </w:rPr>
      </w:pPr>
      <w:r>
        <w:rPr>
          <w:rFonts w:hint="eastAsia" w:ascii="黑体" w:hAnsi="黑体" w:eastAsia="黑体" w:cs="黑体"/>
          <w:b/>
          <w:color w:val="333333"/>
          <w:kern w:val="0"/>
          <w:sz w:val="44"/>
          <w:szCs w:val="44"/>
        </w:rPr>
        <w:t>建设用地使用权网上挂牌出让须知</w:t>
      </w:r>
    </w:p>
    <w:p w14:paraId="17631DE0">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rPr>
      </w:pPr>
      <w:r>
        <w:rPr>
          <w:rFonts w:hint="eastAsia" w:eastAsia="仿宋_GB2312"/>
          <w:sz w:val="32"/>
        </w:rPr>
        <w:t>根据《中华人民共和国土地管理法》、《中华人民共和国城市房地产管理法》、《中华人民共和国城镇国有土地使用权出让和转让暂行条例》、《招标拍卖挂牌出让国有建设用地使用权规定》及《招标拍卖挂牌出让国有土地使用权规范》等有关规定，经大冶市人民政府批准，大冶市公共资源交易中心根据大冶市自然资源和规划局</w:t>
      </w:r>
      <w:r>
        <w:rPr>
          <w:rFonts w:hint="eastAsia" w:eastAsia="仿宋_GB2312"/>
          <w:sz w:val="32"/>
          <w:lang w:val="en-US" w:eastAsia="zh-CN"/>
        </w:rPr>
        <w:t>来</w:t>
      </w:r>
      <w:r>
        <w:rPr>
          <w:rFonts w:hint="eastAsia" w:eastAsia="仿宋_GB2312"/>
          <w:sz w:val="32"/>
        </w:rPr>
        <w:t>函，决定以网上挂牌方式出让</w:t>
      </w:r>
      <w:r>
        <w:rPr>
          <w:rFonts w:hint="eastAsia" w:ascii="仿宋" w:hAnsi="仿宋" w:eastAsia="仿宋" w:cs="宋体"/>
          <w:color w:val="333333"/>
          <w:kern w:val="0"/>
          <w:sz w:val="32"/>
          <w:szCs w:val="32"/>
        </w:rPr>
        <w:t>G</w:t>
      </w:r>
      <w:r>
        <w:rPr>
          <w:rFonts w:hint="eastAsia" w:ascii="仿宋" w:hAnsi="仿宋" w:eastAsia="仿宋" w:cs="宋体"/>
          <w:color w:val="333333"/>
          <w:kern w:val="0"/>
          <w:sz w:val="32"/>
          <w:szCs w:val="32"/>
          <w:lang w:val="en-US" w:eastAsia="zh-CN"/>
        </w:rPr>
        <w:t>25033号地块</w:t>
      </w:r>
      <w:r>
        <w:rPr>
          <w:rFonts w:hint="eastAsia" w:eastAsia="仿宋_GB2312"/>
          <w:sz w:val="32"/>
        </w:rPr>
        <w:t>国有建设用地使用权。</w:t>
      </w:r>
    </w:p>
    <w:p w14:paraId="1F02D52B">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rPr>
      </w:pPr>
      <w:r>
        <w:rPr>
          <w:rFonts w:hint="eastAsia" w:eastAsia="仿宋_GB2312"/>
          <w:sz w:val="32"/>
        </w:rPr>
        <w:t>一、本次国有建设用地使用权挂牌出让的出让人为大冶市自然资源和规划局，具体组织实施由大冶市公共资源交易中心承办。</w:t>
      </w:r>
    </w:p>
    <w:p w14:paraId="730CFF2C">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rPr>
      </w:pPr>
      <w:r>
        <w:rPr>
          <w:rFonts w:hint="eastAsia" w:eastAsia="仿宋_GB2312"/>
          <w:sz w:val="32"/>
        </w:rPr>
        <w:t>二、本次国有建设用地使用权挂牌出让遵循公开、公平、公正和诚实信用原则。</w:t>
      </w:r>
    </w:p>
    <w:p w14:paraId="760A1D19">
      <w:pPr>
        <w:keepNext w:val="0"/>
        <w:keepLines w:val="0"/>
        <w:pageBreakBefore w:val="0"/>
        <w:widowControl w:val="0"/>
        <w:numPr>
          <w:ilvl w:val="0"/>
          <w:numId w:val="1"/>
        </w:numPr>
        <w:kinsoku/>
        <w:wordWrap/>
        <w:overflowPunct/>
        <w:topLinePunct w:val="0"/>
        <w:autoSpaceDE/>
        <w:autoSpaceDN/>
        <w:bidi w:val="0"/>
        <w:adjustRightInd/>
        <w:snapToGrid/>
        <w:spacing w:line="460" w:lineRule="exact"/>
        <w:ind w:firstLine="640" w:firstLineChars="200"/>
        <w:textAlignment w:val="auto"/>
        <w:rPr>
          <w:rFonts w:hint="eastAsia" w:eastAsia="仿宋_GB2312"/>
          <w:sz w:val="32"/>
        </w:rPr>
      </w:pPr>
      <w:r>
        <w:rPr>
          <w:rFonts w:hint="eastAsia" w:eastAsia="仿宋_GB2312"/>
          <w:sz w:val="32"/>
        </w:rPr>
        <w:t>出让地块的基本情况及规划指标要求等：</w:t>
      </w:r>
    </w:p>
    <w:tbl>
      <w:tblPr>
        <w:tblStyle w:val="7"/>
        <w:tblW w:w="9731" w:type="dxa"/>
        <w:jc w:val="center"/>
        <w:tblLayout w:type="fixed"/>
        <w:tblCellMar>
          <w:top w:w="0" w:type="dxa"/>
          <w:left w:w="0" w:type="dxa"/>
          <w:bottom w:w="0" w:type="dxa"/>
          <w:right w:w="0" w:type="dxa"/>
        </w:tblCellMar>
      </w:tblPr>
      <w:tblGrid>
        <w:gridCol w:w="771"/>
        <w:gridCol w:w="1686"/>
        <w:gridCol w:w="885"/>
        <w:gridCol w:w="929"/>
        <w:gridCol w:w="795"/>
        <w:gridCol w:w="793"/>
        <w:gridCol w:w="641"/>
        <w:gridCol w:w="670"/>
        <w:gridCol w:w="1059"/>
        <w:gridCol w:w="730"/>
        <w:gridCol w:w="772"/>
      </w:tblGrid>
      <w:tr w14:paraId="0C40097F">
        <w:tblPrEx>
          <w:tblCellMar>
            <w:top w:w="0" w:type="dxa"/>
            <w:left w:w="0" w:type="dxa"/>
            <w:bottom w:w="0" w:type="dxa"/>
            <w:right w:w="0" w:type="dxa"/>
          </w:tblCellMar>
        </w:tblPrEx>
        <w:trPr>
          <w:cantSplit/>
          <w:trHeight w:val="281" w:hRule="atLeast"/>
          <w:jc w:val="center"/>
        </w:trPr>
        <w:tc>
          <w:tcPr>
            <w:tcW w:w="771"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ADB8641">
            <w:pPr>
              <w:spacing w:line="220" w:lineRule="exact"/>
              <w:jc w:val="center"/>
              <w:rPr>
                <w:rFonts w:hint="eastAsia" w:ascii="仿宋" w:hAnsi="仿宋" w:eastAsia="仿宋" w:cs="仿宋"/>
                <w:color w:val="auto"/>
                <w:spacing w:val="-8"/>
                <w:sz w:val="18"/>
                <w:szCs w:val="18"/>
              </w:rPr>
            </w:pPr>
            <w:r>
              <w:rPr>
                <w:rFonts w:hint="eastAsia" w:ascii="仿宋" w:hAnsi="仿宋" w:eastAsia="仿宋" w:cs="仿宋"/>
                <w:color w:val="auto"/>
                <w:spacing w:val="-8"/>
                <w:sz w:val="18"/>
                <w:szCs w:val="18"/>
              </w:rPr>
              <w:t>地块</w:t>
            </w:r>
          </w:p>
          <w:p w14:paraId="22F01479">
            <w:pPr>
              <w:spacing w:line="220" w:lineRule="exact"/>
              <w:jc w:val="center"/>
              <w:rPr>
                <w:rFonts w:hint="eastAsia" w:ascii="仿宋" w:hAnsi="仿宋" w:eastAsia="仿宋" w:cs="仿宋"/>
                <w:color w:val="auto"/>
                <w:spacing w:val="-8"/>
                <w:sz w:val="18"/>
                <w:szCs w:val="18"/>
              </w:rPr>
            </w:pPr>
            <w:r>
              <w:rPr>
                <w:rFonts w:hint="eastAsia" w:ascii="仿宋" w:hAnsi="仿宋" w:eastAsia="仿宋" w:cs="仿宋"/>
                <w:color w:val="auto"/>
                <w:spacing w:val="-8"/>
                <w:sz w:val="18"/>
                <w:szCs w:val="18"/>
              </w:rPr>
              <w:t>编号</w:t>
            </w:r>
          </w:p>
        </w:tc>
        <w:tc>
          <w:tcPr>
            <w:tcW w:w="1686"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100FE1B">
            <w:pPr>
              <w:spacing w:line="22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土地坐落</w:t>
            </w:r>
          </w:p>
        </w:tc>
        <w:tc>
          <w:tcPr>
            <w:tcW w:w="885" w:type="dxa"/>
            <w:vMerge w:val="restart"/>
            <w:tcBorders>
              <w:top w:val="single" w:color="auto" w:sz="4" w:space="0"/>
              <w:left w:val="single" w:color="auto" w:sz="4" w:space="0"/>
              <w:bottom w:val="single" w:color="auto" w:sz="4" w:space="0"/>
              <w:right w:val="single" w:color="auto" w:sz="4" w:space="0"/>
            </w:tcBorders>
            <w:vAlign w:val="center"/>
          </w:tcPr>
          <w:p w14:paraId="1F04744A">
            <w:pPr>
              <w:spacing w:line="22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总面积</w:t>
            </w:r>
          </w:p>
        </w:tc>
        <w:tc>
          <w:tcPr>
            <w:tcW w:w="929" w:type="dxa"/>
            <w:vMerge w:val="restart"/>
            <w:tcBorders>
              <w:top w:val="single" w:color="auto" w:sz="4" w:space="0"/>
              <w:left w:val="single" w:color="auto" w:sz="4" w:space="0"/>
              <w:bottom w:val="single" w:color="auto" w:sz="4" w:space="0"/>
              <w:right w:val="single" w:color="auto" w:sz="4" w:space="0"/>
            </w:tcBorders>
            <w:vAlign w:val="center"/>
          </w:tcPr>
          <w:p w14:paraId="7768280E">
            <w:pPr>
              <w:spacing w:line="22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出让面积(㎡)</w:t>
            </w:r>
          </w:p>
        </w:tc>
        <w:tc>
          <w:tcPr>
            <w:tcW w:w="795"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2CDC3C3">
            <w:pPr>
              <w:spacing w:line="22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土地</w:t>
            </w:r>
          </w:p>
          <w:p w14:paraId="2F6FD629">
            <w:pPr>
              <w:spacing w:line="22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用途</w:t>
            </w:r>
          </w:p>
        </w:tc>
        <w:tc>
          <w:tcPr>
            <w:tcW w:w="2104"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263C390">
            <w:pPr>
              <w:spacing w:line="22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规划指标要求</w:t>
            </w:r>
          </w:p>
        </w:tc>
        <w:tc>
          <w:tcPr>
            <w:tcW w:w="1059"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DC7412A">
            <w:pPr>
              <w:spacing w:line="22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出让</w:t>
            </w:r>
          </w:p>
          <w:p w14:paraId="2919C373">
            <w:pPr>
              <w:spacing w:line="22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年限</w:t>
            </w:r>
          </w:p>
        </w:tc>
        <w:tc>
          <w:tcPr>
            <w:tcW w:w="730" w:type="dxa"/>
            <w:vMerge w:val="restart"/>
            <w:tcBorders>
              <w:top w:val="single" w:color="auto" w:sz="4" w:space="0"/>
              <w:left w:val="single" w:color="auto" w:sz="4" w:space="0"/>
              <w:bottom w:val="single" w:color="auto" w:sz="4" w:space="0"/>
              <w:right w:val="single" w:color="auto" w:sz="4" w:space="0"/>
            </w:tcBorders>
            <w:vAlign w:val="center"/>
          </w:tcPr>
          <w:p w14:paraId="523A8EBE">
            <w:pPr>
              <w:spacing w:line="22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竞买</w:t>
            </w:r>
          </w:p>
          <w:p w14:paraId="46B03E13">
            <w:pPr>
              <w:spacing w:line="22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保证金</w:t>
            </w:r>
          </w:p>
          <w:p w14:paraId="7EAD3576">
            <w:pPr>
              <w:spacing w:line="22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(万元)</w:t>
            </w:r>
          </w:p>
        </w:tc>
        <w:tc>
          <w:tcPr>
            <w:tcW w:w="772"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699E1CE">
            <w:pPr>
              <w:spacing w:line="22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挂牌</w:t>
            </w:r>
          </w:p>
          <w:p w14:paraId="0EB1B2F6">
            <w:pPr>
              <w:spacing w:line="22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起始价</w:t>
            </w:r>
          </w:p>
          <w:p w14:paraId="3EFD0798">
            <w:pPr>
              <w:spacing w:line="22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(万元)</w:t>
            </w:r>
          </w:p>
        </w:tc>
      </w:tr>
      <w:tr w14:paraId="28AD4EDC">
        <w:tblPrEx>
          <w:tblCellMar>
            <w:top w:w="0" w:type="dxa"/>
            <w:left w:w="0" w:type="dxa"/>
            <w:bottom w:w="0" w:type="dxa"/>
            <w:right w:w="0" w:type="dxa"/>
          </w:tblCellMar>
        </w:tblPrEx>
        <w:trPr>
          <w:cantSplit/>
          <w:trHeight w:val="403" w:hRule="atLeast"/>
          <w:jc w:val="center"/>
        </w:trPr>
        <w:tc>
          <w:tcPr>
            <w:tcW w:w="771" w:type="dxa"/>
            <w:vMerge w:val="continue"/>
            <w:tcBorders>
              <w:top w:val="single" w:color="auto" w:sz="4" w:space="0"/>
              <w:left w:val="single" w:color="auto" w:sz="4" w:space="0"/>
              <w:bottom w:val="single" w:color="auto" w:sz="4" w:space="0"/>
              <w:right w:val="single" w:color="auto" w:sz="4" w:space="0"/>
            </w:tcBorders>
            <w:vAlign w:val="center"/>
          </w:tcPr>
          <w:p w14:paraId="7AC90575">
            <w:pPr>
              <w:widowControl/>
              <w:spacing w:line="220" w:lineRule="exact"/>
              <w:jc w:val="center"/>
              <w:rPr>
                <w:rFonts w:hint="eastAsia" w:ascii="仿宋" w:hAnsi="仿宋" w:eastAsia="仿宋" w:cs="仿宋"/>
                <w:color w:val="auto"/>
                <w:sz w:val="18"/>
                <w:szCs w:val="18"/>
              </w:rPr>
            </w:pPr>
          </w:p>
        </w:tc>
        <w:tc>
          <w:tcPr>
            <w:tcW w:w="1686" w:type="dxa"/>
            <w:vMerge w:val="continue"/>
            <w:tcBorders>
              <w:top w:val="single" w:color="auto" w:sz="4" w:space="0"/>
              <w:left w:val="single" w:color="auto" w:sz="4" w:space="0"/>
              <w:bottom w:val="single" w:color="auto" w:sz="4" w:space="0"/>
              <w:right w:val="single" w:color="auto" w:sz="4" w:space="0"/>
            </w:tcBorders>
            <w:vAlign w:val="center"/>
          </w:tcPr>
          <w:p w14:paraId="2263AB20">
            <w:pPr>
              <w:widowControl/>
              <w:spacing w:line="220" w:lineRule="exact"/>
              <w:jc w:val="center"/>
              <w:rPr>
                <w:rFonts w:hint="eastAsia" w:ascii="仿宋" w:hAnsi="仿宋" w:eastAsia="仿宋" w:cs="仿宋"/>
                <w:color w:val="auto"/>
                <w:kern w:val="0"/>
                <w:sz w:val="18"/>
                <w:szCs w:val="18"/>
              </w:rPr>
            </w:pPr>
          </w:p>
        </w:tc>
        <w:tc>
          <w:tcPr>
            <w:tcW w:w="885" w:type="dxa"/>
            <w:vMerge w:val="continue"/>
            <w:tcBorders>
              <w:top w:val="single" w:color="auto" w:sz="4" w:space="0"/>
              <w:left w:val="single" w:color="auto" w:sz="4" w:space="0"/>
              <w:bottom w:val="single" w:color="auto" w:sz="4" w:space="0"/>
              <w:right w:val="single" w:color="auto" w:sz="4" w:space="0"/>
            </w:tcBorders>
            <w:vAlign w:val="center"/>
          </w:tcPr>
          <w:p w14:paraId="24CAE34A">
            <w:pPr>
              <w:widowControl/>
              <w:spacing w:line="220" w:lineRule="exact"/>
              <w:jc w:val="center"/>
              <w:rPr>
                <w:rFonts w:hint="eastAsia" w:ascii="仿宋" w:hAnsi="仿宋" w:eastAsia="仿宋" w:cs="仿宋"/>
                <w:color w:val="auto"/>
                <w:sz w:val="18"/>
                <w:szCs w:val="18"/>
              </w:rPr>
            </w:pPr>
          </w:p>
        </w:tc>
        <w:tc>
          <w:tcPr>
            <w:tcW w:w="929" w:type="dxa"/>
            <w:vMerge w:val="continue"/>
            <w:tcBorders>
              <w:top w:val="single" w:color="auto" w:sz="4" w:space="0"/>
              <w:left w:val="single" w:color="auto" w:sz="4" w:space="0"/>
              <w:bottom w:val="single" w:color="auto" w:sz="4" w:space="0"/>
              <w:right w:val="single" w:color="auto" w:sz="4" w:space="0"/>
            </w:tcBorders>
            <w:vAlign w:val="center"/>
          </w:tcPr>
          <w:p w14:paraId="7887913A">
            <w:pPr>
              <w:widowControl/>
              <w:spacing w:line="220" w:lineRule="exact"/>
              <w:jc w:val="center"/>
              <w:rPr>
                <w:rFonts w:hint="eastAsia" w:ascii="仿宋" w:hAnsi="仿宋" w:eastAsia="仿宋" w:cs="仿宋"/>
                <w:color w:val="auto"/>
                <w:sz w:val="18"/>
                <w:szCs w:val="18"/>
              </w:rPr>
            </w:pPr>
          </w:p>
        </w:tc>
        <w:tc>
          <w:tcPr>
            <w:tcW w:w="795" w:type="dxa"/>
            <w:vMerge w:val="continue"/>
            <w:tcBorders>
              <w:top w:val="single" w:color="auto" w:sz="4" w:space="0"/>
              <w:left w:val="single" w:color="auto" w:sz="4" w:space="0"/>
              <w:bottom w:val="single" w:color="auto" w:sz="4" w:space="0"/>
              <w:right w:val="single" w:color="auto" w:sz="4" w:space="0"/>
            </w:tcBorders>
            <w:vAlign w:val="center"/>
          </w:tcPr>
          <w:p w14:paraId="30D4B0A8">
            <w:pPr>
              <w:widowControl/>
              <w:spacing w:line="220" w:lineRule="exact"/>
              <w:jc w:val="center"/>
              <w:rPr>
                <w:rFonts w:hint="eastAsia" w:ascii="仿宋" w:hAnsi="仿宋" w:eastAsia="仿宋" w:cs="仿宋"/>
                <w:color w:val="auto"/>
                <w:sz w:val="18"/>
                <w:szCs w:val="18"/>
              </w:rPr>
            </w:pPr>
          </w:p>
        </w:tc>
        <w:tc>
          <w:tcPr>
            <w:tcW w:w="79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4043409">
            <w:pPr>
              <w:spacing w:line="22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容积率</w:t>
            </w:r>
          </w:p>
        </w:tc>
        <w:tc>
          <w:tcPr>
            <w:tcW w:w="64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F17D031">
            <w:pPr>
              <w:spacing w:line="220" w:lineRule="exact"/>
              <w:ind w:firstLine="90" w:firstLineChars="50"/>
              <w:jc w:val="center"/>
              <w:rPr>
                <w:rFonts w:hint="eastAsia" w:ascii="仿宋" w:hAnsi="仿宋" w:eastAsia="仿宋" w:cs="仿宋"/>
                <w:color w:val="auto"/>
                <w:sz w:val="18"/>
                <w:szCs w:val="18"/>
              </w:rPr>
            </w:pPr>
            <w:r>
              <w:rPr>
                <w:rFonts w:hint="eastAsia" w:ascii="仿宋" w:hAnsi="仿宋" w:eastAsia="仿宋" w:cs="仿宋"/>
                <w:color w:val="auto"/>
                <w:sz w:val="18"/>
                <w:szCs w:val="18"/>
              </w:rPr>
              <w:t>建筑</w:t>
            </w:r>
          </w:p>
          <w:p w14:paraId="6FAEDBB3">
            <w:pPr>
              <w:spacing w:line="22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密度(%)</w:t>
            </w:r>
          </w:p>
        </w:tc>
        <w:tc>
          <w:tcPr>
            <w:tcW w:w="6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63C0F47">
            <w:pPr>
              <w:spacing w:line="22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绿地率(%)</w:t>
            </w:r>
          </w:p>
        </w:tc>
        <w:tc>
          <w:tcPr>
            <w:tcW w:w="1059" w:type="dxa"/>
            <w:vMerge w:val="continue"/>
            <w:tcBorders>
              <w:top w:val="single" w:color="auto" w:sz="4" w:space="0"/>
              <w:left w:val="single" w:color="auto" w:sz="4" w:space="0"/>
              <w:bottom w:val="single" w:color="auto" w:sz="4" w:space="0"/>
              <w:right w:val="single" w:color="auto" w:sz="4" w:space="0"/>
            </w:tcBorders>
            <w:vAlign w:val="center"/>
          </w:tcPr>
          <w:p w14:paraId="2677ABC4">
            <w:pPr>
              <w:widowControl/>
              <w:spacing w:line="220" w:lineRule="exact"/>
              <w:jc w:val="center"/>
              <w:rPr>
                <w:rFonts w:hint="eastAsia" w:ascii="仿宋" w:hAnsi="仿宋" w:eastAsia="仿宋" w:cs="仿宋"/>
                <w:color w:val="auto"/>
                <w:sz w:val="18"/>
                <w:szCs w:val="18"/>
              </w:rPr>
            </w:pPr>
          </w:p>
        </w:tc>
        <w:tc>
          <w:tcPr>
            <w:tcW w:w="730" w:type="dxa"/>
            <w:vMerge w:val="continue"/>
            <w:tcBorders>
              <w:top w:val="single" w:color="auto" w:sz="4" w:space="0"/>
              <w:left w:val="single" w:color="auto" w:sz="4" w:space="0"/>
              <w:bottom w:val="single" w:color="auto" w:sz="4" w:space="0"/>
              <w:right w:val="single" w:color="auto" w:sz="4" w:space="0"/>
            </w:tcBorders>
            <w:vAlign w:val="center"/>
          </w:tcPr>
          <w:p w14:paraId="1B75EBC9">
            <w:pPr>
              <w:widowControl/>
              <w:spacing w:line="220" w:lineRule="exact"/>
              <w:jc w:val="center"/>
              <w:rPr>
                <w:rFonts w:hint="eastAsia" w:ascii="仿宋" w:hAnsi="仿宋" w:eastAsia="仿宋" w:cs="仿宋"/>
                <w:color w:val="auto"/>
                <w:sz w:val="18"/>
                <w:szCs w:val="18"/>
              </w:rPr>
            </w:pPr>
          </w:p>
        </w:tc>
        <w:tc>
          <w:tcPr>
            <w:tcW w:w="772" w:type="dxa"/>
            <w:vMerge w:val="continue"/>
            <w:tcBorders>
              <w:top w:val="single" w:color="auto" w:sz="4" w:space="0"/>
              <w:left w:val="single" w:color="auto" w:sz="4" w:space="0"/>
              <w:bottom w:val="single" w:color="auto" w:sz="4" w:space="0"/>
              <w:right w:val="single" w:color="auto" w:sz="4" w:space="0"/>
            </w:tcBorders>
            <w:vAlign w:val="center"/>
          </w:tcPr>
          <w:p w14:paraId="4D263501">
            <w:pPr>
              <w:widowControl/>
              <w:spacing w:line="220" w:lineRule="exact"/>
              <w:jc w:val="center"/>
              <w:rPr>
                <w:rFonts w:hint="eastAsia" w:ascii="仿宋" w:hAnsi="仿宋" w:eastAsia="仿宋" w:cs="仿宋"/>
                <w:color w:val="auto"/>
                <w:sz w:val="18"/>
                <w:szCs w:val="18"/>
              </w:rPr>
            </w:pPr>
          </w:p>
        </w:tc>
      </w:tr>
      <w:tr w14:paraId="63DC9F33">
        <w:tblPrEx>
          <w:tblCellMar>
            <w:top w:w="0" w:type="dxa"/>
            <w:left w:w="0" w:type="dxa"/>
            <w:bottom w:w="0" w:type="dxa"/>
            <w:right w:w="0" w:type="dxa"/>
          </w:tblCellMar>
        </w:tblPrEx>
        <w:trPr>
          <w:cantSplit/>
          <w:trHeight w:val="930" w:hRule="atLeast"/>
          <w:jc w:val="center"/>
        </w:trPr>
        <w:tc>
          <w:tcPr>
            <w:tcW w:w="771" w:type="dxa"/>
            <w:tcBorders>
              <w:top w:val="single" w:color="auto" w:sz="4" w:space="0"/>
              <w:left w:val="single" w:color="auto" w:sz="4" w:space="0"/>
              <w:bottom w:val="single" w:color="auto" w:sz="4" w:space="0"/>
              <w:right w:val="single" w:color="auto" w:sz="4" w:space="0"/>
            </w:tcBorders>
            <w:vAlign w:val="center"/>
          </w:tcPr>
          <w:p w14:paraId="4E41AB61">
            <w:pPr>
              <w:jc w:val="center"/>
              <w:rPr>
                <w:rFonts w:hint="default" w:ascii="仿宋" w:hAnsi="仿宋" w:eastAsia="仿宋" w:cs="仿宋"/>
                <w:b w:val="0"/>
                <w:bCs w:val="0"/>
                <w:sz w:val="18"/>
                <w:szCs w:val="18"/>
                <w:lang w:val="en-US" w:eastAsia="zh-CN"/>
              </w:rPr>
            </w:pPr>
            <w:r>
              <w:rPr>
                <w:rFonts w:hint="eastAsia" w:ascii="仿宋" w:hAnsi="仿宋" w:eastAsia="仿宋" w:cs="仿宋"/>
                <w:b w:val="0"/>
                <w:bCs w:val="0"/>
                <w:sz w:val="18"/>
                <w:szCs w:val="18"/>
                <w:lang w:val="en-US" w:eastAsia="zh-CN"/>
              </w:rPr>
              <w:t>G25033</w:t>
            </w:r>
          </w:p>
        </w:tc>
        <w:tc>
          <w:tcPr>
            <w:tcW w:w="1686" w:type="dxa"/>
            <w:tcBorders>
              <w:top w:val="single" w:color="auto" w:sz="4" w:space="0"/>
              <w:left w:val="single" w:color="auto" w:sz="4" w:space="0"/>
              <w:bottom w:val="single" w:color="auto" w:sz="4" w:space="0"/>
              <w:right w:val="single" w:color="auto" w:sz="4" w:space="0"/>
            </w:tcBorders>
            <w:vAlign w:val="center"/>
          </w:tcPr>
          <w:p w14:paraId="208B2DBB">
            <w:pPr>
              <w:spacing w:line="240" w:lineRule="exact"/>
              <w:jc w:val="center"/>
              <w:rPr>
                <w:rFonts w:hint="eastAsia" w:ascii="仿宋" w:hAnsi="仿宋" w:eastAsia="仿宋" w:cs="仿宋"/>
                <w:b w:val="0"/>
                <w:bCs w:val="0"/>
                <w:sz w:val="18"/>
                <w:szCs w:val="18"/>
                <w:lang w:val="en-US" w:eastAsia="zh-CN"/>
              </w:rPr>
            </w:pPr>
            <w:r>
              <w:rPr>
                <w:rFonts w:hint="eastAsia" w:ascii="仿宋" w:hAnsi="仿宋" w:eastAsia="仿宋" w:cs="仿宋"/>
                <w:b w:val="0"/>
                <w:bCs w:val="0"/>
                <w:sz w:val="18"/>
                <w:szCs w:val="18"/>
                <w:lang w:val="en-US" w:eastAsia="zh-CN"/>
              </w:rPr>
              <w:t>高铁大道东侧、大棋路南侧地块</w:t>
            </w:r>
          </w:p>
        </w:tc>
        <w:tc>
          <w:tcPr>
            <w:tcW w:w="885" w:type="dxa"/>
            <w:tcBorders>
              <w:top w:val="single" w:color="auto" w:sz="4" w:space="0"/>
              <w:left w:val="single" w:color="auto" w:sz="4" w:space="0"/>
              <w:bottom w:val="single" w:color="auto" w:sz="4" w:space="0"/>
              <w:right w:val="single" w:color="auto" w:sz="4" w:space="0"/>
            </w:tcBorders>
            <w:vAlign w:val="center"/>
          </w:tcPr>
          <w:p w14:paraId="76459EE8">
            <w:pPr>
              <w:spacing w:line="240" w:lineRule="exact"/>
              <w:jc w:val="center"/>
              <w:rPr>
                <w:rFonts w:hint="eastAsia" w:ascii="仿宋" w:hAnsi="仿宋" w:eastAsia="仿宋" w:cs="仿宋"/>
                <w:b w:val="0"/>
                <w:bCs w:val="0"/>
                <w:sz w:val="18"/>
                <w:szCs w:val="18"/>
                <w:lang w:val="en-US" w:eastAsia="zh-CN"/>
              </w:rPr>
            </w:pPr>
            <w:r>
              <w:rPr>
                <w:rFonts w:hint="eastAsia" w:ascii="仿宋" w:hAnsi="仿宋" w:eastAsia="仿宋" w:cs="仿宋"/>
                <w:b w:val="0"/>
                <w:bCs w:val="0"/>
                <w:sz w:val="18"/>
                <w:szCs w:val="18"/>
                <w:lang w:val="en-US" w:eastAsia="zh-CN"/>
              </w:rPr>
              <w:t>10868.40</w:t>
            </w:r>
          </w:p>
        </w:tc>
        <w:tc>
          <w:tcPr>
            <w:tcW w:w="929" w:type="dxa"/>
            <w:tcBorders>
              <w:top w:val="single" w:color="auto" w:sz="4" w:space="0"/>
              <w:left w:val="single" w:color="auto" w:sz="4" w:space="0"/>
              <w:bottom w:val="single" w:color="auto" w:sz="4" w:space="0"/>
              <w:right w:val="single" w:color="auto" w:sz="4" w:space="0"/>
            </w:tcBorders>
            <w:vAlign w:val="center"/>
          </w:tcPr>
          <w:p w14:paraId="181CA644">
            <w:pPr>
              <w:spacing w:line="240" w:lineRule="exact"/>
              <w:jc w:val="center"/>
              <w:rPr>
                <w:rFonts w:hint="eastAsia" w:ascii="仿宋" w:hAnsi="仿宋" w:eastAsia="仿宋" w:cs="仿宋"/>
                <w:b w:val="0"/>
                <w:bCs w:val="0"/>
                <w:sz w:val="18"/>
                <w:szCs w:val="18"/>
                <w:lang w:val="en-US" w:eastAsia="zh-CN"/>
              </w:rPr>
            </w:pPr>
            <w:r>
              <w:rPr>
                <w:rFonts w:hint="eastAsia" w:ascii="仿宋" w:hAnsi="仿宋" w:eastAsia="仿宋" w:cs="仿宋"/>
                <w:b w:val="0"/>
                <w:bCs w:val="0"/>
                <w:sz w:val="18"/>
                <w:szCs w:val="18"/>
                <w:lang w:val="en-US" w:eastAsia="zh-CN"/>
              </w:rPr>
              <w:t>6904.22</w:t>
            </w:r>
          </w:p>
        </w:tc>
        <w:tc>
          <w:tcPr>
            <w:tcW w:w="795" w:type="dxa"/>
            <w:tcBorders>
              <w:top w:val="single" w:color="auto" w:sz="4" w:space="0"/>
              <w:left w:val="single" w:color="auto" w:sz="4" w:space="0"/>
              <w:bottom w:val="single" w:color="auto" w:sz="4" w:space="0"/>
              <w:right w:val="single" w:color="auto" w:sz="4" w:space="0"/>
            </w:tcBorders>
            <w:vAlign w:val="center"/>
          </w:tcPr>
          <w:p w14:paraId="6F3CAA52">
            <w:pPr>
              <w:jc w:val="center"/>
              <w:rPr>
                <w:rFonts w:hint="eastAsia" w:ascii="仿宋" w:hAnsi="仿宋" w:eastAsia="仿宋" w:cs="仿宋"/>
                <w:b w:val="0"/>
                <w:bCs w:val="0"/>
                <w:sz w:val="18"/>
                <w:szCs w:val="18"/>
                <w:lang w:val="en-US" w:eastAsia="zh-CN"/>
              </w:rPr>
            </w:pPr>
            <w:r>
              <w:rPr>
                <w:rFonts w:hint="eastAsia" w:ascii="仿宋" w:hAnsi="仿宋" w:eastAsia="仿宋" w:cs="仿宋"/>
                <w:b w:val="0"/>
                <w:bCs w:val="0"/>
                <w:sz w:val="18"/>
                <w:szCs w:val="18"/>
                <w:lang w:val="en-US" w:eastAsia="zh-CN"/>
              </w:rPr>
              <w:t>商服用地</w:t>
            </w:r>
          </w:p>
        </w:tc>
        <w:tc>
          <w:tcPr>
            <w:tcW w:w="7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F38E619">
            <w:pPr>
              <w:jc w:val="center"/>
              <w:rPr>
                <w:rFonts w:hint="eastAsia" w:ascii="仿宋" w:hAnsi="仿宋" w:eastAsia="仿宋" w:cs="仿宋"/>
                <w:b w:val="0"/>
                <w:bCs w:val="0"/>
                <w:kern w:val="2"/>
                <w:sz w:val="18"/>
                <w:szCs w:val="18"/>
                <w:lang w:val="en-US" w:eastAsia="zh-CN" w:bidi="ar-SA"/>
              </w:rPr>
            </w:pPr>
            <w:r>
              <w:rPr>
                <w:rFonts w:hint="eastAsia" w:ascii="仿宋" w:hAnsi="仿宋" w:eastAsia="仿宋" w:cs="仿宋"/>
                <w:b w:val="0"/>
                <w:bCs w:val="0"/>
                <w:sz w:val="18"/>
                <w:szCs w:val="18"/>
                <w:lang w:val="en-US" w:eastAsia="zh-CN"/>
              </w:rPr>
              <w:t>≤1.5</w:t>
            </w:r>
          </w:p>
        </w:tc>
        <w:tc>
          <w:tcPr>
            <w:tcW w:w="6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E75AC54">
            <w:pPr>
              <w:jc w:val="center"/>
              <w:rPr>
                <w:rFonts w:hint="default" w:ascii="仿宋" w:hAnsi="仿宋" w:eastAsia="仿宋" w:cs="仿宋"/>
                <w:b w:val="0"/>
                <w:bCs w:val="0"/>
                <w:kern w:val="2"/>
                <w:sz w:val="18"/>
                <w:szCs w:val="18"/>
                <w:lang w:val="en-US" w:eastAsia="zh-CN" w:bidi="ar-SA"/>
              </w:rPr>
            </w:pPr>
            <w:r>
              <w:rPr>
                <w:rFonts w:hint="eastAsia" w:ascii="仿宋" w:hAnsi="仿宋" w:eastAsia="仿宋" w:cs="仿宋"/>
                <w:b w:val="0"/>
                <w:bCs w:val="0"/>
                <w:sz w:val="18"/>
                <w:szCs w:val="18"/>
                <w:lang w:val="en-US" w:eastAsia="zh-CN"/>
              </w:rPr>
              <w:t>≤65</w:t>
            </w:r>
          </w:p>
        </w:tc>
        <w:tc>
          <w:tcPr>
            <w:tcW w:w="6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B62DA20">
            <w:pPr>
              <w:jc w:val="center"/>
              <w:rPr>
                <w:rFonts w:hint="eastAsia" w:ascii="仿宋" w:hAnsi="仿宋" w:eastAsia="仿宋" w:cs="仿宋"/>
                <w:b w:val="0"/>
                <w:bCs w:val="0"/>
                <w:kern w:val="2"/>
                <w:sz w:val="18"/>
                <w:szCs w:val="18"/>
                <w:lang w:val="en-US" w:eastAsia="zh-CN" w:bidi="ar-SA"/>
              </w:rPr>
            </w:pPr>
            <w:r>
              <w:rPr>
                <w:rFonts w:hint="eastAsia" w:ascii="仿宋" w:hAnsi="仿宋" w:eastAsia="仿宋" w:cs="仿宋"/>
                <w:b w:val="0"/>
                <w:bCs w:val="0"/>
                <w:sz w:val="18"/>
                <w:szCs w:val="18"/>
                <w:lang w:val="en-US" w:eastAsia="zh-CN"/>
              </w:rPr>
              <w:t>≥10</w:t>
            </w:r>
          </w:p>
        </w:tc>
        <w:tc>
          <w:tcPr>
            <w:tcW w:w="1059" w:type="dxa"/>
            <w:tcBorders>
              <w:top w:val="single" w:color="auto" w:sz="4" w:space="0"/>
              <w:left w:val="single" w:color="auto" w:sz="4" w:space="0"/>
              <w:bottom w:val="single" w:color="auto" w:sz="4" w:space="0"/>
              <w:right w:val="single" w:color="auto" w:sz="4" w:space="0"/>
            </w:tcBorders>
            <w:shd w:val="clear" w:color="auto" w:fill="auto"/>
            <w:vAlign w:val="center"/>
          </w:tcPr>
          <w:p w14:paraId="72F079C8">
            <w:pPr>
              <w:jc w:val="center"/>
              <w:rPr>
                <w:rFonts w:hint="eastAsia" w:ascii="仿宋" w:hAnsi="仿宋" w:eastAsia="仿宋" w:cs="仿宋"/>
                <w:b w:val="0"/>
                <w:bCs w:val="0"/>
                <w:kern w:val="2"/>
                <w:sz w:val="18"/>
                <w:szCs w:val="18"/>
                <w:lang w:val="en-US" w:eastAsia="zh-CN" w:bidi="ar-SA"/>
              </w:rPr>
            </w:pPr>
            <w:r>
              <w:rPr>
                <w:rFonts w:hint="eastAsia" w:ascii="仿宋" w:hAnsi="仿宋" w:eastAsia="仿宋" w:cs="仿宋"/>
                <w:b w:val="0"/>
                <w:bCs w:val="0"/>
                <w:sz w:val="18"/>
                <w:szCs w:val="18"/>
                <w:lang w:val="en-US" w:eastAsia="zh-CN"/>
              </w:rPr>
              <w:t>商服40年</w:t>
            </w:r>
          </w:p>
        </w:tc>
        <w:tc>
          <w:tcPr>
            <w:tcW w:w="730" w:type="dxa"/>
            <w:tcBorders>
              <w:top w:val="single" w:color="auto" w:sz="4" w:space="0"/>
              <w:left w:val="single" w:color="auto" w:sz="4" w:space="0"/>
              <w:bottom w:val="single" w:color="auto" w:sz="4" w:space="0"/>
              <w:right w:val="single" w:color="auto" w:sz="4" w:space="0"/>
            </w:tcBorders>
            <w:vAlign w:val="center"/>
          </w:tcPr>
          <w:p w14:paraId="7A8A524B">
            <w:pPr>
              <w:jc w:val="center"/>
              <w:rPr>
                <w:rFonts w:hint="default" w:ascii="仿宋" w:hAnsi="仿宋" w:eastAsia="仿宋" w:cs="仿宋"/>
                <w:b w:val="0"/>
                <w:bCs w:val="0"/>
                <w:sz w:val="18"/>
                <w:szCs w:val="18"/>
                <w:lang w:val="en-US" w:eastAsia="zh-CN"/>
              </w:rPr>
            </w:pPr>
            <w:r>
              <w:rPr>
                <w:rFonts w:hint="eastAsia" w:ascii="仿宋" w:hAnsi="仿宋" w:eastAsia="仿宋" w:cs="仿宋"/>
                <w:b w:val="0"/>
                <w:bCs w:val="0"/>
                <w:sz w:val="18"/>
                <w:szCs w:val="18"/>
                <w:lang w:val="en-US" w:eastAsia="zh-CN"/>
              </w:rPr>
              <w:t>665</w:t>
            </w:r>
          </w:p>
        </w:tc>
        <w:tc>
          <w:tcPr>
            <w:tcW w:w="772" w:type="dxa"/>
            <w:tcBorders>
              <w:top w:val="single" w:color="auto" w:sz="4" w:space="0"/>
              <w:left w:val="single" w:color="auto" w:sz="4" w:space="0"/>
              <w:bottom w:val="single" w:color="auto" w:sz="4" w:space="0"/>
              <w:right w:val="single" w:color="auto" w:sz="4" w:space="0"/>
            </w:tcBorders>
            <w:vAlign w:val="center"/>
          </w:tcPr>
          <w:p w14:paraId="4A32AA3B">
            <w:pPr>
              <w:jc w:val="center"/>
              <w:rPr>
                <w:rFonts w:hint="default" w:ascii="仿宋" w:hAnsi="仿宋" w:eastAsia="仿宋" w:cs="仿宋"/>
                <w:b w:val="0"/>
                <w:bCs w:val="0"/>
                <w:sz w:val="18"/>
                <w:szCs w:val="18"/>
                <w:lang w:val="en-US" w:eastAsia="zh-CN"/>
              </w:rPr>
            </w:pPr>
            <w:r>
              <w:rPr>
                <w:rFonts w:hint="eastAsia" w:ascii="仿宋" w:hAnsi="仿宋" w:eastAsia="仿宋" w:cs="仿宋"/>
                <w:b w:val="0"/>
                <w:bCs w:val="0"/>
                <w:sz w:val="18"/>
                <w:szCs w:val="18"/>
                <w:lang w:val="en-US" w:eastAsia="zh-CN"/>
              </w:rPr>
              <w:t>1330</w:t>
            </w:r>
          </w:p>
        </w:tc>
      </w:tr>
      <w:tr w14:paraId="703C680D">
        <w:tblPrEx>
          <w:tblCellMar>
            <w:top w:w="0" w:type="dxa"/>
            <w:left w:w="0" w:type="dxa"/>
            <w:bottom w:w="0" w:type="dxa"/>
            <w:right w:w="0" w:type="dxa"/>
          </w:tblCellMar>
        </w:tblPrEx>
        <w:trPr>
          <w:cantSplit/>
          <w:trHeight w:val="555" w:hRule="atLeast"/>
          <w:jc w:val="center"/>
        </w:trPr>
        <w:tc>
          <w:tcPr>
            <w:tcW w:w="9731" w:type="dxa"/>
            <w:gridSpan w:val="11"/>
            <w:tcBorders>
              <w:top w:val="single" w:color="auto" w:sz="4" w:space="0"/>
              <w:left w:val="single" w:color="auto" w:sz="4" w:space="0"/>
              <w:bottom w:val="single" w:color="auto" w:sz="4" w:space="0"/>
              <w:right w:val="single" w:color="auto" w:sz="4" w:space="0"/>
            </w:tcBorders>
            <w:vAlign w:val="center"/>
          </w:tcPr>
          <w:p w14:paraId="325D35D6">
            <w:pPr>
              <w:spacing w:line="240" w:lineRule="exact"/>
              <w:rPr>
                <w:rFonts w:hint="eastAsia" w:ascii="仿宋" w:hAnsi="仿宋" w:eastAsia="仿宋" w:cs="仿宋"/>
                <w:color w:val="auto"/>
                <w:sz w:val="18"/>
                <w:szCs w:val="18"/>
              </w:rPr>
            </w:pPr>
            <w:r>
              <w:rPr>
                <w:rFonts w:hint="eastAsia" w:ascii="仿宋" w:hAnsi="仿宋" w:eastAsia="仿宋" w:cs="仿宋"/>
                <w:color w:val="auto"/>
                <w:sz w:val="18"/>
                <w:szCs w:val="18"/>
              </w:rPr>
              <w:t>规划计容建筑面积：</w:t>
            </w:r>
            <w:r>
              <w:rPr>
                <w:rFonts w:hint="eastAsia" w:ascii="仿宋" w:hAnsi="仿宋" w:eastAsia="仿宋" w:cs="仿宋"/>
                <w:color w:val="auto"/>
                <w:sz w:val="18"/>
                <w:szCs w:val="18"/>
                <w:highlight w:val="none"/>
                <w:lang w:val="en-US" w:eastAsia="zh-CN"/>
              </w:rPr>
              <w:t>G25033≤10356㎡</w:t>
            </w:r>
            <w:r>
              <w:rPr>
                <w:rFonts w:hint="eastAsia" w:ascii="仿宋" w:hAnsi="仿宋" w:eastAsia="仿宋" w:cs="仿宋"/>
                <w:color w:val="auto"/>
                <w:sz w:val="18"/>
                <w:szCs w:val="18"/>
                <w:highlight w:val="none"/>
                <w:lang w:eastAsia="zh-CN"/>
              </w:rPr>
              <w:t>。</w:t>
            </w:r>
          </w:p>
        </w:tc>
      </w:tr>
    </w:tbl>
    <w:p w14:paraId="02EDC79A">
      <w:pPr>
        <w:spacing w:line="540" w:lineRule="exact"/>
        <w:ind w:firstLine="640" w:firstLineChars="200"/>
        <w:rPr>
          <w:rFonts w:hint="eastAsia" w:ascii="仿宋" w:hAnsi="仿宋" w:eastAsia="仿宋"/>
          <w:color w:val="auto"/>
          <w:sz w:val="32"/>
          <w:highlight w:val="none"/>
        </w:rPr>
      </w:pPr>
      <w:r>
        <w:rPr>
          <w:rFonts w:hint="eastAsia" w:ascii="仿宋" w:hAnsi="仿宋" w:eastAsia="仿宋"/>
          <w:color w:val="auto"/>
          <w:sz w:val="32"/>
        </w:rPr>
        <w:t>四、</w:t>
      </w:r>
      <w:r>
        <w:rPr>
          <w:rFonts w:hint="eastAsia" w:ascii="仿宋" w:hAnsi="仿宋" w:eastAsia="仿宋"/>
          <w:color w:val="auto"/>
          <w:sz w:val="32"/>
          <w:highlight w:val="none"/>
        </w:rPr>
        <w:t>特别约定</w:t>
      </w:r>
    </w:p>
    <w:p w14:paraId="3E882A0A">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olor w:val="auto"/>
          <w:sz w:val="32"/>
          <w:szCs w:val="32"/>
          <w:lang w:eastAsia="zh-CN"/>
        </w:rPr>
      </w:pPr>
      <w:r>
        <w:rPr>
          <w:rFonts w:hint="eastAsia" w:ascii="仿宋" w:hAnsi="仿宋" w:eastAsia="仿宋" w:cs="Times New Roman"/>
          <w:color w:val="auto"/>
          <w:kern w:val="2"/>
          <w:sz w:val="32"/>
          <w:szCs w:val="32"/>
          <w:lang w:val="en-US" w:eastAsia="zh-CN" w:bidi="ar-SA"/>
        </w:rPr>
        <w:t>（一</w:t>
      </w:r>
      <w:r>
        <w:rPr>
          <w:rFonts w:hint="eastAsia" w:ascii="仿宋" w:hAnsi="仿宋" w:eastAsia="仿宋" w:cs="Times New Roman"/>
          <w:b w:val="0"/>
          <w:bCs w:val="0"/>
          <w:color w:val="auto"/>
          <w:kern w:val="2"/>
          <w:sz w:val="32"/>
          <w:szCs w:val="32"/>
          <w:lang w:val="en-US" w:eastAsia="zh-CN" w:bidi="ar-SA"/>
        </w:rPr>
        <w:t>）</w:t>
      </w:r>
      <w:r>
        <w:rPr>
          <w:rFonts w:hint="eastAsia" w:ascii="仿宋" w:hAnsi="仿宋" w:eastAsia="仿宋"/>
          <w:color w:val="auto"/>
          <w:sz w:val="32"/>
          <w:szCs w:val="32"/>
        </w:rPr>
        <w:t>土地开发程度：</w:t>
      </w:r>
      <w:r>
        <w:rPr>
          <w:rFonts w:hint="eastAsia" w:ascii="仿宋" w:hAnsi="仿宋" w:eastAsia="仿宋"/>
          <w:color w:val="auto"/>
          <w:sz w:val="32"/>
          <w:szCs w:val="32"/>
          <w:lang w:val="en-US" w:eastAsia="zh-CN"/>
        </w:rPr>
        <w:t>上述</w:t>
      </w:r>
      <w:r>
        <w:rPr>
          <w:rFonts w:hint="eastAsia" w:ascii="仿宋" w:hAnsi="仿宋" w:eastAsia="仿宋"/>
          <w:color w:val="auto"/>
          <w:sz w:val="32"/>
          <w:szCs w:val="32"/>
        </w:rPr>
        <w:t>宗地外</w:t>
      </w:r>
      <w:r>
        <w:rPr>
          <w:rFonts w:hint="eastAsia" w:ascii="仿宋" w:hAnsi="仿宋" w:eastAsia="仿宋"/>
          <w:color w:val="auto"/>
          <w:sz w:val="32"/>
          <w:szCs w:val="32"/>
          <w:lang w:val="en-US" w:eastAsia="zh-CN"/>
        </w:rPr>
        <w:t>五</w:t>
      </w:r>
      <w:r>
        <w:rPr>
          <w:rFonts w:hint="eastAsia" w:ascii="仿宋" w:hAnsi="仿宋" w:eastAsia="仿宋"/>
          <w:color w:val="auto"/>
          <w:sz w:val="32"/>
          <w:szCs w:val="32"/>
        </w:rPr>
        <w:t>通，即通</w:t>
      </w:r>
      <w:r>
        <w:rPr>
          <w:rFonts w:hint="eastAsia" w:ascii="仿宋" w:hAnsi="仿宋" w:eastAsia="仿宋"/>
          <w:color w:val="auto"/>
          <w:sz w:val="32"/>
          <w:szCs w:val="32"/>
          <w:lang w:val="en-US" w:eastAsia="zh-CN"/>
        </w:rPr>
        <w:t>路</w:t>
      </w:r>
      <w:r>
        <w:rPr>
          <w:rFonts w:hint="eastAsia" w:ascii="仿宋" w:hAnsi="仿宋" w:eastAsia="仿宋"/>
          <w:color w:val="auto"/>
          <w:sz w:val="32"/>
          <w:szCs w:val="32"/>
        </w:rPr>
        <w:t>、通电、</w:t>
      </w:r>
      <w:r>
        <w:rPr>
          <w:rFonts w:hint="eastAsia" w:ascii="仿宋" w:hAnsi="仿宋" w:eastAsia="仿宋"/>
          <w:color w:val="auto"/>
          <w:sz w:val="32"/>
          <w:szCs w:val="32"/>
          <w:lang w:val="en-US" w:eastAsia="zh-CN"/>
        </w:rPr>
        <w:t>通讯、</w:t>
      </w:r>
      <w:r>
        <w:rPr>
          <w:rFonts w:hint="eastAsia" w:ascii="仿宋" w:hAnsi="仿宋" w:eastAsia="仿宋"/>
          <w:color w:val="auto"/>
          <w:sz w:val="32"/>
          <w:szCs w:val="32"/>
        </w:rPr>
        <w:t>通上水</w:t>
      </w: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通下水</w:t>
      </w:r>
      <w:r>
        <w:rPr>
          <w:rFonts w:hint="eastAsia" w:ascii="仿宋" w:hAnsi="仿宋" w:eastAsia="仿宋"/>
          <w:color w:val="auto"/>
          <w:sz w:val="32"/>
          <w:szCs w:val="32"/>
        </w:rPr>
        <w:t>，宗地内场地现状交付</w:t>
      </w:r>
      <w:r>
        <w:rPr>
          <w:rFonts w:hint="eastAsia" w:ascii="仿宋" w:hAnsi="仿宋" w:eastAsia="仿宋"/>
          <w:color w:val="auto"/>
          <w:sz w:val="32"/>
          <w:szCs w:val="32"/>
          <w:lang w:eastAsia="zh-CN"/>
        </w:rPr>
        <w:t>。</w:t>
      </w:r>
    </w:p>
    <w:p w14:paraId="57B91FE6">
      <w:pPr>
        <w:pStyle w:val="2"/>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Times New Roman"/>
          <w:b w:val="0"/>
          <w:bCs w:val="0"/>
          <w:color w:val="auto"/>
          <w:kern w:val="2"/>
          <w:sz w:val="32"/>
          <w:szCs w:val="32"/>
          <w:lang w:val="en-US" w:eastAsia="zh-CN" w:bidi="ar-SA"/>
        </w:rPr>
      </w:pPr>
      <w:r>
        <w:rPr>
          <w:rFonts w:hint="eastAsia" w:ascii="仿宋" w:hAnsi="仿宋" w:eastAsia="仿宋" w:cs="Times New Roman"/>
          <w:b w:val="0"/>
          <w:bCs w:val="0"/>
          <w:color w:val="auto"/>
          <w:kern w:val="2"/>
          <w:sz w:val="32"/>
          <w:szCs w:val="32"/>
          <w:lang w:val="en-US" w:eastAsia="zh-CN" w:bidi="ar-SA"/>
        </w:rPr>
        <w:t>（二）上述宗地挂牌出让成交后，竞得人应在成交之日起30日内与出让人签订《国有建设用地使用权出让合同》，按土地出让合同约定缴纳土地成交价款，并在签订出让合同后10个工作日内建立“建设项目信息公示牌”，公示牌具体规格及公示内容由大冶市自然资源和规划局另行告知。</w:t>
      </w:r>
    </w:p>
    <w:p w14:paraId="3CA5C4E8">
      <w:pPr>
        <w:pStyle w:val="2"/>
        <w:keepNext w:val="0"/>
        <w:keepLines w:val="0"/>
        <w:pageBreakBefore w:val="0"/>
        <w:widowControl w:val="0"/>
        <w:kinsoku/>
        <w:wordWrap/>
        <w:overflowPunct/>
        <w:topLinePunct w:val="0"/>
        <w:autoSpaceDE/>
        <w:autoSpaceDN/>
        <w:bidi w:val="0"/>
        <w:adjustRightInd/>
        <w:snapToGrid/>
        <w:ind w:firstLine="640"/>
        <w:textAlignment w:val="auto"/>
        <w:rPr>
          <w:rFonts w:hint="eastAsia" w:ascii="仿宋" w:hAnsi="仿宋" w:eastAsia="仿宋"/>
          <w:b w:val="0"/>
          <w:bCs w:val="0"/>
          <w:color w:val="auto"/>
          <w:kern w:val="2"/>
          <w:sz w:val="32"/>
          <w:szCs w:val="32"/>
        </w:rPr>
      </w:pPr>
      <w:r>
        <w:rPr>
          <w:rFonts w:hint="eastAsia" w:ascii="仿宋" w:hAnsi="仿宋" w:eastAsia="仿宋"/>
          <w:b w:val="0"/>
          <w:bCs w:val="0"/>
          <w:color w:val="auto"/>
          <w:kern w:val="2"/>
          <w:sz w:val="32"/>
          <w:szCs w:val="32"/>
        </w:rPr>
        <w:t>（</w:t>
      </w:r>
      <w:r>
        <w:rPr>
          <w:rFonts w:hint="eastAsia" w:ascii="仿宋" w:hAnsi="仿宋" w:eastAsia="仿宋"/>
          <w:b w:val="0"/>
          <w:bCs w:val="0"/>
          <w:color w:val="auto"/>
          <w:kern w:val="2"/>
          <w:sz w:val="32"/>
          <w:szCs w:val="32"/>
          <w:lang w:val="en-US" w:eastAsia="zh-CN"/>
        </w:rPr>
        <w:t>三</w:t>
      </w:r>
      <w:r>
        <w:rPr>
          <w:rFonts w:hint="eastAsia" w:ascii="仿宋" w:hAnsi="仿宋" w:eastAsia="仿宋"/>
          <w:b w:val="0"/>
          <w:bCs w:val="0"/>
          <w:color w:val="auto"/>
          <w:kern w:val="2"/>
          <w:sz w:val="32"/>
          <w:szCs w:val="32"/>
        </w:rPr>
        <w:t>）上述宗地以现状挂牌出让，实际勘测交付面积与挂牌出让文件标明的出让面积差异率在</w:t>
      </w:r>
      <w:r>
        <w:rPr>
          <w:rFonts w:ascii="仿宋" w:hAnsi="仿宋" w:eastAsia="仿宋"/>
          <w:b w:val="0"/>
          <w:bCs w:val="0"/>
          <w:color w:val="auto"/>
          <w:kern w:val="2"/>
          <w:sz w:val="32"/>
          <w:szCs w:val="32"/>
        </w:rPr>
        <w:t>1%</w:t>
      </w:r>
      <w:r>
        <w:rPr>
          <w:rFonts w:hint="eastAsia" w:ascii="仿宋" w:hAnsi="仿宋" w:eastAsia="仿宋"/>
          <w:b w:val="0"/>
          <w:bCs w:val="0"/>
          <w:color w:val="auto"/>
          <w:kern w:val="2"/>
          <w:sz w:val="32"/>
          <w:szCs w:val="32"/>
        </w:rPr>
        <w:t>以内的，面积差异不影响成交价格。</w:t>
      </w:r>
    </w:p>
    <w:p w14:paraId="450B6026">
      <w:pPr>
        <w:pStyle w:val="2"/>
        <w:keepNext w:val="0"/>
        <w:keepLines w:val="0"/>
        <w:pageBreakBefore w:val="0"/>
        <w:widowControl w:val="0"/>
        <w:kinsoku/>
        <w:wordWrap/>
        <w:overflowPunct/>
        <w:topLinePunct w:val="0"/>
        <w:autoSpaceDE/>
        <w:autoSpaceDN/>
        <w:bidi w:val="0"/>
        <w:adjustRightInd/>
        <w:snapToGrid/>
        <w:ind w:firstLine="640"/>
        <w:textAlignment w:val="auto"/>
        <w:rPr>
          <w:rFonts w:ascii="仿宋" w:hAnsi="仿宋" w:eastAsia="仿宋"/>
          <w:b w:val="0"/>
          <w:bCs w:val="0"/>
          <w:color w:val="auto"/>
          <w:kern w:val="2"/>
          <w:sz w:val="32"/>
          <w:szCs w:val="32"/>
        </w:rPr>
      </w:pPr>
      <w:r>
        <w:rPr>
          <w:rFonts w:hint="eastAsia" w:ascii="仿宋" w:hAnsi="仿宋" w:eastAsia="仿宋"/>
          <w:b w:val="0"/>
          <w:bCs w:val="0"/>
          <w:color w:val="auto"/>
          <w:kern w:val="2"/>
          <w:sz w:val="32"/>
          <w:szCs w:val="32"/>
        </w:rPr>
        <w:t>（</w:t>
      </w:r>
      <w:r>
        <w:rPr>
          <w:rFonts w:hint="eastAsia" w:ascii="仿宋" w:hAnsi="仿宋" w:eastAsia="仿宋"/>
          <w:b w:val="0"/>
          <w:bCs w:val="0"/>
          <w:color w:val="auto"/>
          <w:kern w:val="2"/>
          <w:sz w:val="32"/>
          <w:szCs w:val="32"/>
          <w:lang w:val="en-US" w:eastAsia="zh-CN"/>
        </w:rPr>
        <w:t>四</w:t>
      </w:r>
      <w:r>
        <w:rPr>
          <w:rFonts w:hint="eastAsia" w:ascii="仿宋" w:hAnsi="仿宋" w:eastAsia="仿宋"/>
          <w:b w:val="0"/>
          <w:bCs w:val="0"/>
          <w:color w:val="auto"/>
          <w:kern w:val="2"/>
          <w:sz w:val="32"/>
          <w:szCs w:val="32"/>
        </w:rPr>
        <w:t>）上述地块竞得人在宗地内依规划建设，连建地下建（构）筑物，使用地下建设用地使用权的，按照下列规定办理土地供应手续：</w:t>
      </w:r>
    </w:p>
    <w:p w14:paraId="51D45963">
      <w:pPr>
        <w:pStyle w:val="2"/>
        <w:ind w:firstLine="640"/>
        <w:rPr>
          <w:rFonts w:ascii="仿宋" w:hAnsi="仿宋" w:eastAsia="仿宋"/>
          <w:b w:val="0"/>
          <w:bCs w:val="0"/>
          <w:color w:val="auto"/>
          <w:kern w:val="2"/>
          <w:sz w:val="32"/>
          <w:szCs w:val="32"/>
        </w:rPr>
      </w:pPr>
      <w:r>
        <w:rPr>
          <w:rFonts w:ascii="仿宋" w:hAnsi="仿宋" w:eastAsia="仿宋"/>
          <w:b w:val="0"/>
          <w:bCs w:val="0"/>
          <w:color w:val="auto"/>
          <w:kern w:val="2"/>
          <w:sz w:val="32"/>
          <w:szCs w:val="32"/>
        </w:rPr>
        <w:t xml:space="preserve"> 1.</w:t>
      </w:r>
      <w:r>
        <w:rPr>
          <w:rFonts w:hint="eastAsia" w:ascii="仿宋" w:hAnsi="仿宋" w:eastAsia="仿宋"/>
          <w:b w:val="0"/>
          <w:bCs w:val="0"/>
          <w:color w:val="auto"/>
          <w:kern w:val="2"/>
          <w:sz w:val="32"/>
          <w:szCs w:val="32"/>
        </w:rPr>
        <w:t>符合划拨用地目录的，可以划拨方式办理土地供应手续；</w:t>
      </w:r>
    </w:p>
    <w:p w14:paraId="04FAE9DA">
      <w:pPr>
        <w:pStyle w:val="2"/>
        <w:ind w:firstLine="640"/>
        <w:rPr>
          <w:rFonts w:ascii="仿宋" w:hAnsi="仿宋" w:eastAsia="仿宋"/>
          <w:b w:val="0"/>
          <w:bCs w:val="0"/>
          <w:color w:val="auto"/>
          <w:kern w:val="2"/>
          <w:sz w:val="32"/>
          <w:szCs w:val="32"/>
        </w:rPr>
      </w:pPr>
      <w:r>
        <w:rPr>
          <w:rFonts w:ascii="仿宋" w:hAnsi="仿宋" w:eastAsia="仿宋"/>
          <w:b w:val="0"/>
          <w:bCs w:val="0"/>
          <w:color w:val="auto"/>
          <w:kern w:val="2"/>
          <w:sz w:val="32"/>
          <w:szCs w:val="32"/>
        </w:rPr>
        <w:t xml:space="preserve"> 2.</w:t>
      </w:r>
      <w:r>
        <w:rPr>
          <w:rFonts w:hint="eastAsia" w:ascii="仿宋" w:hAnsi="仿宋" w:eastAsia="仿宋"/>
          <w:b w:val="0"/>
          <w:bCs w:val="0"/>
          <w:color w:val="auto"/>
          <w:kern w:val="2"/>
          <w:sz w:val="32"/>
          <w:szCs w:val="32"/>
        </w:rPr>
        <w:t>不符合划拨用地目录的，经依法批准以协议方式办理出让手续，按照不低于出让时相同主导功能用途、土地级别、使用年限的地上建设用地市场价标准的</w:t>
      </w:r>
      <w:r>
        <w:rPr>
          <w:rFonts w:ascii="仿宋" w:hAnsi="仿宋" w:eastAsia="仿宋"/>
          <w:b w:val="0"/>
          <w:bCs w:val="0"/>
          <w:color w:val="auto"/>
          <w:kern w:val="2"/>
          <w:sz w:val="32"/>
          <w:szCs w:val="32"/>
        </w:rPr>
        <w:t>30%</w:t>
      </w:r>
      <w:r>
        <w:rPr>
          <w:rFonts w:hint="eastAsia" w:ascii="仿宋" w:hAnsi="仿宋" w:eastAsia="仿宋"/>
          <w:b w:val="0"/>
          <w:bCs w:val="0"/>
          <w:color w:val="auto"/>
          <w:kern w:val="2"/>
          <w:sz w:val="32"/>
          <w:szCs w:val="32"/>
        </w:rPr>
        <w:t>缴纳土地出让价款。</w:t>
      </w:r>
    </w:p>
    <w:p w14:paraId="72446FB0">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eastAsia="仿宋_GB2312"/>
          <w:sz w:val="32"/>
          <w:lang w:val="en-US" w:eastAsia="zh-CN"/>
        </w:rPr>
      </w:pPr>
      <w:r>
        <w:rPr>
          <w:rFonts w:hint="eastAsia" w:eastAsia="仿宋_GB2312"/>
          <w:sz w:val="32"/>
          <w:lang w:val="en-US" w:eastAsia="zh-CN"/>
        </w:rPr>
        <w:t>五、竞买资格及要求</w:t>
      </w:r>
    </w:p>
    <w:p w14:paraId="3092671D">
      <w:pPr>
        <w:pStyle w:val="2"/>
        <w:ind w:firstLine="640"/>
        <w:rPr>
          <w:rFonts w:ascii="仿宋" w:hAnsi="仿宋" w:eastAsia="仿宋"/>
          <w:b w:val="0"/>
          <w:bCs w:val="0"/>
          <w:color w:val="auto"/>
          <w:kern w:val="2"/>
          <w:sz w:val="32"/>
          <w:szCs w:val="32"/>
        </w:rPr>
      </w:pPr>
      <w:r>
        <w:rPr>
          <w:rFonts w:hint="eastAsia" w:ascii="仿宋" w:hAnsi="仿宋" w:eastAsia="仿宋"/>
          <w:b w:val="0"/>
          <w:bCs w:val="0"/>
          <w:color w:val="auto"/>
          <w:kern w:val="2"/>
          <w:sz w:val="32"/>
          <w:szCs w:val="32"/>
        </w:rPr>
        <w:t>（一）中华人民共和国境内外的法人和其他组织均可申请参加，申请人可以单独申请，也可以联合申请</w:t>
      </w:r>
      <w:r>
        <w:rPr>
          <w:rFonts w:hint="eastAsia" w:ascii="仿宋" w:hAnsi="仿宋" w:eastAsia="仿宋"/>
          <w:b w:val="0"/>
          <w:bCs w:val="0"/>
          <w:color w:val="auto"/>
          <w:kern w:val="2"/>
          <w:sz w:val="32"/>
          <w:szCs w:val="32"/>
          <w:lang w:eastAsia="zh-CN"/>
        </w:rPr>
        <w:t>，</w:t>
      </w:r>
      <w:r>
        <w:rPr>
          <w:rFonts w:hint="eastAsia" w:ascii="仿宋" w:hAnsi="仿宋" w:eastAsia="仿宋"/>
          <w:b w:val="0"/>
          <w:bCs w:val="0"/>
          <w:color w:val="auto"/>
          <w:kern w:val="2"/>
          <w:sz w:val="32"/>
          <w:szCs w:val="32"/>
          <w:lang w:val="en-US" w:eastAsia="zh-CN"/>
        </w:rPr>
        <w:t>自然人不得申请参加土地竞买活动</w:t>
      </w:r>
      <w:r>
        <w:rPr>
          <w:rFonts w:hint="eastAsia" w:ascii="仿宋" w:hAnsi="仿宋" w:eastAsia="仿宋"/>
          <w:b w:val="0"/>
          <w:bCs w:val="0"/>
          <w:color w:val="auto"/>
          <w:kern w:val="2"/>
          <w:sz w:val="32"/>
          <w:szCs w:val="32"/>
        </w:rPr>
        <w:t>。</w:t>
      </w:r>
    </w:p>
    <w:p w14:paraId="5BC1234D">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en-US" w:eastAsia="zh-CN"/>
        </w:rPr>
      </w:pPr>
      <w:r>
        <w:rPr>
          <w:rFonts w:hint="eastAsia" w:eastAsia="仿宋_GB2312"/>
          <w:sz w:val="32"/>
          <w:lang w:val="en-US" w:eastAsia="zh-CN"/>
        </w:rPr>
        <w:t>（二）凡存在伪造公文骗取用地手续和非法倒卖土地、非法转让土地使用权、因企业原因造成土地闲置一年以上、违背出让合同约定条件开发利用土地、擅自改变保障性安居工程用地用途搞商品房开发等情形之一的企业或个人，在违法违规违约行为处理完毕之前，该企业（包括其控股股东及其控股股东新设企业）或个人不得参加土地竞买活动。</w:t>
      </w:r>
    </w:p>
    <w:p w14:paraId="17696056">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en-US" w:eastAsia="zh-CN"/>
        </w:rPr>
      </w:pPr>
      <w:r>
        <w:rPr>
          <w:rFonts w:hint="eastAsia" w:eastAsia="仿宋_GB2312"/>
          <w:sz w:val="32"/>
          <w:lang w:val="en-US" w:eastAsia="zh-CN"/>
        </w:rPr>
        <w:t>（三）竞买申请人在参与网上挂牌交易活动期间须在“信用中国”网站（http://www.creditchina.gov.cn）无失信记录，若存在失信记录参加竞买活动的，其竞买申请为无效申请，竞买申请人自行承担相关法律后果。</w:t>
      </w:r>
    </w:p>
    <w:p w14:paraId="2715AE88">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en-US" w:eastAsia="zh-CN"/>
        </w:rPr>
      </w:pPr>
      <w:r>
        <w:rPr>
          <w:rFonts w:hint="eastAsia" w:eastAsia="仿宋_GB2312"/>
          <w:sz w:val="32"/>
          <w:lang w:val="en-US" w:eastAsia="zh-CN"/>
        </w:rPr>
        <w:t>（四）本次国有建设用地使用权挂牌出让只能在互联网上通过大冶市招投标网站国有土地网上交易系统进行。只有办理数字证书、通过网上注册、足额交纳竞买保证金的申请人，才能参加网上挂牌出让活动。</w:t>
      </w:r>
    </w:p>
    <w:p w14:paraId="5B6C1A4A">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en-US" w:eastAsia="zh-CN"/>
        </w:rPr>
      </w:pPr>
      <w:r>
        <w:rPr>
          <w:rFonts w:hint="eastAsia" w:eastAsia="仿宋_GB2312"/>
          <w:sz w:val="32"/>
          <w:lang w:val="en-US" w:eastAsia="zh-CN"/>
        </w:rPr>
        <w:t>（五）只接受网上报名、网上竞买申请及报价。竞买人的网上竞买报价一经系统确认，不能修改或撤回。不接受电话、邮寄、书面、口头等其他方式的竞买申请和报价。</w:t>
      </w:r>
    </w:p>
    <w:p w14:paraId="76F995A9">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en-US" w:eastAsia="zh-CN"/>
        </w:rPr>
      </w:pPr>
      <w:r>
        <w:rPr>
          <w:rFonts w:hint="eastAsia" w:eastAsia="仿宋_GB2312"/>
          <w:sz w:val="32"/>
          <w:lang w:val="en-US" w:eastAsia="zh-CN"/>
        </w:rPr>
        <w:t>（六）交纳竞买保证金的截止时间为2025年9月19日17时00分（收款单位：大冶市公共资源交易中心；开户行：湖北银行股份有限公司大冶支行；账号：详见业务系统中“申请成功信息”页面）竞买人必须全部接受网上挂牌出让条件和挂牌文件，并按规定交纳竞买保证金后，方可参与竞买。</w:t>
      </w:r>
    </w:p>
    <w:p w14:paraId="0D7EB2C5">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en-US" w:eastAsia="zh-CN"/>
        </w:rPr>
      </w:pPr>
      <w:r>
        <w:rPr>
          <w:rFonts w:hint="eastAsia" w:eastAsia="仿宋_GB2312"/>
          <w:sz w:val="32"/>
          <w:lang w:val="en-US" w:eastAsia="zh-CN"/>
        </w:rPr>
        <w:t>（七）竞买人保证金必须从单位账户汇出，在网上交易系统点击“申购”,通过交易系统在2025年9月19日17时00分前,一次性足额将竞买保证金汇入我中心指定的保证金账户。</w:t>
      </w:r>
    </w:p>
    <w:p w14:paraId="05140E10">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en-US" w:eastAsia="zh-CN"/>
        </w:rPr>
      </w:pPr>
      <w:r>
        <w:rPr>
          <w:rFonts w:hint="eastAsia" w:eastAsia="仿宋_GB2312"/>
          <w:sz w:val="32"/>
          <w:lang w:val="en-US" w:eastAsia="zh-CN"/>
        </w:rPr>
        <w:t>六、竞买申请</w:t>
      </w:r>
    </w:p>
    <w:p w14:paraId="3D4B6200">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en-US" w:eastAsia="zh-CN"/>
        </w:rPr>
      </w:pPr>
      <w:r>
        <w:rPr>
          <w:rFonts w:hint="eastAsia" w:eastAsia="仿宋_GB2312"/>
          <w:sz w:val="32"/>
          <w:lang w:val="en-US" w:eastAsia="zh-CN"/>
        </w:rPr>
        <w:t>我中心将通过互联网站(网址：</w:t>
      </w:r>
      <w:r>
        <w:rPr>
          <w:rFonts w:hint="eastAsia" w:ascii="仿宋" w:hAnsi="仿宋" w:eastAsia="仿宋" w:cs="仿宋"/>
          <w:sz w:val="32"/>
          <w:szCs w:val="32"/>
        </w:rPr>
        <w:t>http://36.133.17.9:8081/ztb/</w:t>
      </w:r>
      <w:r>
        <w:rPr>
          <w:rFonts w:hint="eastAsia" w:eastAsia="仿宋_GB2312"/>
          <w:sz w:val="32"/>
          <w:lang w:val="en-US" w:eastAsia="zh-CN"/>
        </w:rPr>
        <w:t>)大冶市招投标网站发布网上挂牌出让相关文件。有意竞买者须登陆该系统，在网上浏览或下载本次挂牌出让文件，网上挂牌出让文件具体包括：</w:t>
      </w:r>
    </w:p>
    <w:p w14:paraId="1D59027E">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en-US" w:eastAsia="zh-CN"/>
        </w:rPr>
      </w:pPr>
      <w:r>
        <w:rPr>
          <w:rFonts w:hint="eastAsia" w:eastAsia="仿宋_GB2312"/>
          <w:sz w:val="32"/>
          <w:lang w:val="en-US" w:eastAsia="zh-CN"/>
        </w:rPr>
        <w:t>（一）《国有建设用地使用权网上挂牌出让公告》(以下简称《出让公告》)；</w:t>
      </w:r>
    </w:p>
    <w:p w14:paraId="4757A041">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en-US" w:eastAsia="zh-CN"/>
        </w:rPr>
      </w:pPr>
      <w:r>
        <w:rPr>
          <w:rFonts w:hint="eastAsia" w:eastAsia="仿宋_GB2312"/>
          <w:sz w:val="32"/>
          <w:lang w:val="en-US" w:eastAsia="zh-CN"/>
        </w:rPr>
        <w:t>（二）《国有建设用地使用权网上挂牌出让规则》(以下简称《出让规则》)；</w:t>
      </w:r>
    </w:p>
    <w:p w14:paraId="4D5072D7">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en-US" w:eastAsia="zh-CN"/>
        </w:rPr>
      </w:pPr>
      <w:r>
        <w:rPr>
          <w:rFonts w:hint="eastAsia" w:eastAsia="仿宋_GB2312"/>
          <w:sz w:val="32"/>
          <w:lang w:val="en-US" w:eastAsia="zh-CN"/>
        </w:rPr>
        <w:t>（三）《国有建设用地使用权网上挂牌出让须知》(以下简称《出让须知》)；</w:t>
      </w:r>
    </w:p>
    <w:p w14:paraId="6C551414">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en-US" w:eastAsia="zh-CN"/>
        </w:rPr>
      </w:pPr>
      <w:r>
        <w:rPr>
          <w:rFonts w:hint="eastAsia" w:eastAsia="仿宋_GB2312"/>
          <w:sz w:val="32"/>
          <w:lang w:val="zh-CN" w:eastAsia="zh-CN"/>
        </w:rPr>
        <w:t>（四）</w:t>
      </w:r>
      <w:r>
        <w:rPr>
          <w:rFonts w:hint="eastAsia" w:eastAsia="仿宋_GB2312"/>
          <w:sz w:val="32"/>
          <w:lang w:val="en-US" w:eastAsia="zh-CN"/>
        </w:rPr>
        <w:t>竞买申请书；</w:t>
      </w:r>
    </w:p>
    <w:p w14:paraId="30CBC7A7">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en-US" w:eastAsia="zh-CN"/>
        </w:rPr>
      </w:pPr>
      <w:r>
        <w:rPr>
          <w:rFonts w:hint="eastAsia" w:eastAsia="仿宋_GB2312"/>
          <w:sz w:val="32"/>
          <w:lang w:val="zh-CN" w:eastAsia="zh-CN"/>
        </w:rPr>
        <w:t>（五）</w:t>
      </w:r>
      <w:r>
        <w:rPr>
          <w:rFonts w:hint="eastAsia" w:eastAsia="仿宋_GB2312"/>
          <w:sz w:val="32"/>
          <w:lang w:val="en-US" w:eastAsia="zh-CN"/>
        </w:rPr>
        <w:t>挂牌出让宗地规划条件通知书；</w:t>
      </w:r>
    </w:p>
    <w:p w14:paraId="63CBD61F">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en-US" w:eastAsia="zh-CN"/>
        </w:rPr>
      </w:pPr>
      <w:r>
        <w:rPr>
          <w:rFonts w:hint="eastAsia" w:eastAsia="仿宋_GB2312"/>
          <w:sz w:val="32"/>
          <w:lang w:val="zh-CN" w:eastAsia="zh-CN"/>
        </w:rPr>
        <w:t>（</w:t>
      </w:r>
      <w:r>
        <w:rPr>
          <w:rFonts w:hint="eastAsia" w:eastAsia="仿宋_GB2312"/>
          <w:sz w:val="32"/>
          <w:lang w:val="en-US" w:eastAsia="zh-CN"/>
        </w:rPr>
        <w:t>六</w:t>
      </w:r>
      <w:r>
        <w:rPr>
          <w:rFonts w:hint="eastAsia" w:eastAsia="仿宋_GB2312"/>
          <w:sz w:val="32"/>
          <w:lang w:val="zh-CN" w:eastAsia="zh-CN"/>
        </w:rPr>
        <w:t>）</w:t>
      </w:r>
      <w:r>
        <w:rPr>
          <w:rFonts w:hint="eastAsia" w:eastAsia="仿宋_GB2312"/>
          <w:sz w:val="32"/>
          <w:lang w:val="en-US" w:eastAsia="zh-CN"/>
        </w:rPr>
        <w:t>《国有建设用地网上挂牌出让成交确认书》(以下简称《成交确认书》)；</w:t>
      </w:r>
    </w:p>
    <w:p w14:paraId="38F19F19">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en-US" w:eastAsia="zh-CN"/>
        </w:rPr>
      </w:pPr>
      <w:r>
        <w:rPr>
          <w:rFonts w:hint="eastAsia" w:eastAsia="仿宋_GB2312"/>
          <w:sz w:val="32"/>
          <w:lang w:val="zh-CN" w:eastAsia="zh-CN"/>
        </w:rPr>
        <w:t>（</w:t>
      </w:r>
      <w:r>
        <w:rPr>
          <w:rFonts w:hint="eastAsia" w:eastAsia="仿宋_GB2312"/>
          <w:sz w:val="32"/>
          <w:lang w:val="en-US" w:eastAsia="zh-CN"/>
        </w:rPr>
        <w:t>七</w:t>
      </w:r>
      <w:r>
        <w:rPr>
          <w:rFonts w:hint="eastAsia" w:eastAsia="仿宋_GB2312"/>
          <w:sz w:val="32"/>
          <w:lang w:val="zh-CN" w:eastAsia="zh-CN"/>
        </w:rPr>
        <w:t>）</w:t>
      </w:r>
      <w:r>
        <w:rPr>
          <w:rFonts w:hint="eastAsia" w:eastAsia="仿宋_GB2312"/>
          <w:sz w:val="32"/>
          <w:lang w:val="en-US" w:eastAsia="zh-CN"/>
        </w:rPr>
        <w:t>宗地界址图；</w:t>
      </w:r>
    </w:p>
    <w:p w14:paraId="334DE5FD">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en-US" w:eastAsia="zh-CN"/>
        </w:rPr>
      </w:pPr>
      <w:r>
        <w:rPr>
          <w:rFonts w:hint="eastAsia" w:eastAsia="仿宋_GB2312"/>
          <w:sz w:val="32"/>
          <w:lang w:val="en-US" w:eastAsia="zh-CN"/>
        </w:rPr>
        <w:t>竞买申请及竞买保证金一经提交确认后，即视为竞买人对公开出让文件及地块现状无异议并全部接受，并对有关承诺承担法律责任。</w:t>
      </w:r>
    </w:p>
    <w:p w14:paraId="6382809C">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en-US" w:eastAsia="zh-CN"/>
        </w:rPr>
      </w:pPr>
      <w:r>
        <w:rPr>
          <w:rFonts w:hint="eastAsia" w:eastAsia="仿宋_GB2312"/>
          <w:sz w:val="32"/>
          <w:lang w:val="en-US" w:eastAsia="zh-CN"/>
        </w:rPr>
        <w:t>七、资格审查</w:t>
      </w:r>
    </w:p>
    <w:p w14:paraId="3F994C3A">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en-US" w:eastAsia="zh-CN"/>
        </w:rPr>
      </w:pPr>
      <w:r>
        <w:rPr>
          <w:rFonts w:hint="eastAsia" w:eastAsia="仿宋_GB2312"/>
          <w:sz w:val="32"/>
          <w:lang w:val="en-US" w:eastAsia="zh-CN"/>
        </w:rPr>
        <w:t>我中心通过网上挂牌出让交易系统自动确认竞买人资格。通过我中心网上挂牌出让交易系统提交竞买申请、竞买保证金，且通过交易系统资格审查的，方能取得竞买资格，网上将自动生成《竞买资格确认书》。</w:t>
      </w:r>
    </w:p>
    <w:p w14:paraId="08A7BBE2">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en-US" w:eastAsia="zh-CN"/>
        </w:rPr>
      </w:pPr>
      <w:r>
        <w:rPr>
          <w:rFonts w:hint="eastAsia" w:eastAsia="仿宋_GB2312"/>
          <w:sz w:val="32"/>
          <w:lang w:val="en-US" w:eastAsia="zh-CN"/>
        </w:rPr>
        <w:t>经审查，有下列情形之一的，为无效申请：</w:t>
      </w:r>
    </w:p>
    <w:p w14:paraId="12DB74DC">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en-US" w:eastAsia="zh-CN"/>
        </w:rPr>
      </w:pPr>
      <w:r>
        <w:rPr>
          <w:rFonts w:hint="eastAsia" w:eastAsia="仿宋_GB2312"/>
          <w:sz w:val="32"/>
          <w:lang w:val="en-US" w:eastAsia="zh-CN"/>
        </w:rPr>
        <w:t>（一）申请人不具备竞买资格的；</w:t>
      </w:r>
    </w:p>
    <w:p w14:paraId="2D0FECCA">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en-US" w:eastAsia="zh-CN"/>
        </w:rPr>
      </w:pPr>
      <w:r>
        <w:rPr>
          <w:rFonts w:hint="eastAsia" w:eastAsia="仿宋_GB2312"/>
          <w:sz w:val="32"/>
          <w:lang w:val="en-US" w:eastAsia="zh-CN"/>
        </w:rPr>
        <w:t>（二）未按规定交纳竞买保证金的；</w:t>
      </w:r>
    </w:p>
    <w:p w14:paraId="4BC23BE3">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en-US" w:eastAsia="zh-CN"/>
        </w:rPr>
      </w:pPr>
      <w:r>
        <w:rPr>
          <w:rFonts w:hint="eastAsia" w:eastAsia="仿宋_GB2312"/>
          <w:sz w:val="32"/>
          <w:lang w:val="en-US" w:eastAsia="zh-CN"/>
        </w:rPr>
        <w:t>（三）申请文件不齐全或不符合规定的；</w:t>
      </w:r>
    </w:p>
    <w:p w14:paraId="1682BEA2">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zh-CN" w:eastAsia="zh-CN"/>
        </w:rPr>
      </w:pPr>
      <w:r>
        <w:rPr>
          <w:rFonts w:hint="eastAsia" w:eastAsia="仿宋_GB2312"/>
          <w:sz w:val="32"/>
          <w:lang w:val="zh-CN" w:eastAsia="zh-CN"/>
        </w:rPr>
        <w:t>（四）法律法规规定的其他情形。</w:t>
      </w:r>
    </w:p>
    <w:p w14:paraId="2292E802">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zh-CN" w:eastAsia="zh-CN"/>
        </w:rPr>
      </w:pPr>
      <w:r>
        <w:rPr>
          <w:rFonts w:hint="eastAsia" w:eastAsia="仿宋_GB2312"/>
          <w:sz w:val="32"/>
          <w:lang w:val="zh-CN" w:eastAsia="zh-CN"/>
        </w:rPr>
        <w:t>八、答疑及现场踏勘</w:t>
      </w:r>
    </w:p>
    <w:p w14:paraId="12E495F7">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en-US" w:eastAsia="zh-CN"/>
        </w:rPr>
      </w:pPr>
      <w:r>
        <w:rPr>
          <w:rFonts w:hint="eastAsia" w:eastAsia="仿宋_GB2312"/>
          <w:sz w:val="32"/>
          <w:lang w:val="en-US" w:eastAsia="zh-CN"/>
        </w:rPr>
        <w:t>竞买人必须全面阅读有关网上挂牌出让文件，对挂牌文件及宗地现状有疑问的，可通过电话向大冶市公共资源交易中心咨询，大冶市公共资源交易中心及时就咨询事项给予答复 (咨询电话：0714--3188055)。也可向大冶市自然资源和规划局及大冶市公共资源交易中心申请组织现场踏勘。</w:t>
      </w:r>
    </w:p>
    <w:p w14:paraId="6627A49D">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en-US" w:eastAsia="zh-CN"/>
        </w:rPr>
      </w:pPr>
      <w:r>
        <w:rPr>
          <w:rFonts w:hint="eastAsia" w:eastAsia="仿宋_GB2312"/>
          <w:sz w:val="32"/>
          <w:lang w:val="en-US" w:eastAsia="zh-CN"/>
        </w:rPr>
        <w:t>九、本次挂牌出让活动有关时间</w:t>
      </w:r>
    </w:p>
    <w:p w14:paraId="066286F7">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en-US" w:eastAsia="zh-CN"/>
        </w:rPr>
      </w:pPr>
      <w:r>
        <w:rPr>
          <w:rFonts w:hint="eastAsia" w:eastAsia="仿宋_GB2312"/>
          <w:sz w:val="32"/>
          <w:lang w:val="en-US" w:eastAsia="zh-CN"/>
        </w:rPr>
        <w:t>挂牌时间为13日，具体如下：</w:t>
      </w:r>
    </w:p>
    <w:p w14:paraId="0402055A">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en-US" w:eastAsia="zh-CN"/>
        </w:rPr>
      </w:pPr>
      <w:r>
        <w:rPr>
          <w:rFonts w:hint="eastAsia" w:eastAsia="仿宋_GB2312"/>
          <w:sz w:val="32"/>
          <w:lang w:val="en-US" w:eastAsia="zh-CN"/>
        </w:rPr>
        <w:t>1、挂牌起始时间：2024年9月10日上午10时；</w:t>
      </w:r>
    </w:p>
    <w:p w14:paraId="077457F2">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en-US" w:eastAsia="zh-CN"/>
        </w:rPr>
      </w:pPr>
      <w:r>
        <w:rPr>
          <w:rFonts w:hint="eastAsia" w:eastAsia="仿宋_GB2312"/>
          <w:sz w:val="32"/>
          <w:lang w:val="en-US" w:eastAsia="zh-CN"/>
        </w:rPr>
        <w:t>2、挂牌截止时间：2025年9月23日上午10时。</w:t>
      </w:r>
    </w:p>
    <w:p w14:paraId="76847307">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en-US" w:eastAsia="zh-CN"/>
        </w:rPr>
      </w:pPr>
      <w:r>
        <w:rPr>
          <w:rFonts w:hint="eastAsia" w:eastAsia="仿宋_GB2312"/>
          <w:sz w:val="32"/>
          <w:lang w:val="en-US" w:eastAsia="zh-CN"/>
        </w:rPr>
        <w:t>十、挂牌程序</w:t>
      </w:r>
    </w:p>
    <w:p w14:paraId="19274B1E">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en-US" w:eastAsia="zh-CN"/>
        </w:rPr>
      </w:pPr>
      <w:r>
        <w:rPr>
          <w:rFonts w:hint="eastAsia" w:eastAsia="仿宋_GB2312"/>
          <w:sz w:val="32"/>
          <w:lang w:val="en-US" w:eastAsia="zh-CN"/>
        </w:rPr>
        <w:t>（一）在中国土地市场网、黄石市公共资源交易中心网、大冶招投标网站、《今日大冶》等网站和媒体发布网上挂牌出让公告、出让宗地相关信息；</w:t>
      </w:r>
    </w:p>
    <w:p w14:paraId="5477EAC5">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en-US" w:eastAsia="zh-CN"/>
        </w:rPr>
      </w:pPr>
      <w:r>
        <w:rPr>
          <w:rFonts w:hint="eastAsia" w:eastAsia="仿宋_GB2312"/>
          <w:sz w:val="32"/>
          <w:lang w:val="en-US" w:eastAsia="zh-CN"/>
        </w:rPr>
        <w:t>（二）在挂牌期内，有意竞买者通过注册申请并缴纳竞买保证金至指定账户后，取得竞买资格；</w:t>
      </w:r>
    </w:p>
    <w:p w14:paraId="3175E475">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en-US" w:eastAsia="zh-CN"/>
        </w:rPr>
      </w:pPr>
      <w:r>
        <w:rPr>
          <w:rFonts w:hint="eastAsia" w:eastAsia="仿宋_GB2312"/>
          <w:sz w:val="32"/>
          <w:lang w:val="en-US" w:eastAsia="zh-CN"/>
        </w:rPr>
        <w:t>（三）竞买人在挂牌期内参与竞买，报价经系统确认无误后即显示为当前报价；</w:t>
      </w:r>
    </w:p>
    <w:p w14:paraId="422F45DB">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en-US" w:eastAsia="zh-CN"/>
        </w:rPr>
      </w:pPr>
      <w:r>
        <w:rPr>
          <w:rFonts w:hint="eastAsia" w:eastAsia="仿宋_GB2312"/>
          <w:sz w:val="32"/>
          <w:lang w:val="zh-CN" w:eastAsia="zh-CN"/>
        </w:rPr>
        <w:t>（四）</w:t>
      </w:r>
      <w:r>
        <w:rPr>
          <w:rFonts w:hint="eastAsia" w:eastAsia="仿宋_GB2312"/>
          <w:sz w:val="32"/>
          <w:lang w:val="en-US" w:eastAsia="zh-CN"/>
        </w:rPr>
        <w:t>网上交易系统根据挂牌截止时的最高报价且不低于底价的自动确定竞得人，竞得人可以下载系统生成的《成交确认书》及相关文件。</w:t>
      </w:r>
    </w:p>
    <w:p w14:paraId="5DF63188">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zh-CN" w:eastAsia="zh-CN"/>
        </w:rPr>
      </w:pPr>
      <w:r>
        <w:rPr>
          <w:rFonts w:hint="eastAsia" w:eastAsia="仿宋_GB2312"/>
          <w:sz w:val="32"/>
          <w:lang w:val="zh-CN" w:eastAsia="zh-CN"/>
        </w:rPr>
        <w:t>（五）出让结果公布</w:t>
      </w:r>
    </w:p>
    <w:p w14:paraId="366742A7">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zh-CN" w:eastAsia="zh-CN"/>
        </w:rPr>
      </w:pPr>
      <w:r>
        <w:rPr>
          <w:rFonts w:hint="eastAsia" w:eastAsia="仿宋_GB2312"/>
          <w:sz w:val="32"/>
          <w:lang w:val="zh-CN" w:eastAsia="zh-CN"/>
        </w:rPr>
        <w:t>大冶市公共资源交易中心将在此次国有建设用地使用权挂牌出让活动结束后10个工作日内，在中国土地市场网、黄石市公共资源交易中心网、</w:t>
      </w:r>
      <w:r>
        <w:rPr>
          <w:rFonts w:hint="eastAsia" w:eastAsia="仿宋_GB2312"/>
          <w:sz w:val="32"/>
          <w:lang w:val="en-US" w:eastAsia="zh-CN"/>
        </w:rPr>
        <w:t>大冶市招投标网站等网站</w:t>
      </w:r>
      <w:r>
        <w:rPr>
          <w:rFonts w:hint="eastAsia" w:eastAsia="仿宋_GB2312"/>
          <w:sz w:val="32"/>
          <w:lang w:val="zh-CN" w:eastAsia="zh-CN"/>
        </w:rPr>
        <w:t>上公布本次国有建设用地使用权网上挂牌出让结果。</w:t>
      </w:r>
    </w:p>
    <w:p w14:paraId="30FFC479">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zh-CN" w:eastAsia="zh-CN"/>
        </w:rPr>
      </w:pPr>
      <w:r>
        <w:rPr>
          <w:rFonts w:hint="eastAsia" w:eastAsia="仿宋_GB2312"/>
          <w:sz w:val="32"/>
          <w:lang w:val="zh-CN" w:eastAsia="zh-CN"/>
        </w:rPr>
        <w:t>本次网上挂牌出让交易的报价规则详见</w:t>
      </w:r>
      <w:r>
        <w:rPr>
          <w:rFonts w:hint="eastAsia" w:eastAsia="仿宋_GB2312"/>
          <w:sz w:val="32"/>
          <w:lang w:val="en-US" w:eastAsia="zh-CN"/>
        </w:rPr>
        <w:t>大冶市招投标网站</w:t>
      </w:r>
      <w:r>
        <w:rPr>
          <w:rFonts w:hint="eastAsia" w:eastAsia="仿宋_GB2312"/>
          <w:sz w:val="32"/>
          <w:lang w:val="zh-CN" w:eastAsia="zh-CN"/>
        </w:rPr>
        <w:t>栏目国有土地网上交易系统上发布的《交易规则》第四章、第五章。</w:t>
      </w:r>
    </w:p>
    <w:p w14:paraId="693825A0">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eastAsia="仿宋_GB2312"/>
          <w:sz w:val="32"/>
          <w:lang w:val="en-US" w:eastAsia="zh-CN"/>
        </w:rPr>
      </w:pPr>
      <w:r>
        <w:rPr>
          <w:rFonts w:hint="eastAsia" w:eastAsia="仿宋_GB2312"/>
          <w:sz w:val="32"/>
          <w:lang w:val="en-US" w:eastAsia="zh-CN"/>
        </w:rPr>
        <w:t>十一、宗地竞买保证金、起始价、增价幅度及报价</w:t>
      </w:r>
    </w:p>
    <w:p w14:paraId="7045B2B1">
      <w:pPr>
        <w:spacing w:line="540" w:lineRule="exact"/>
        <w:ind w:firstLine="640" w:firstLineChars="200"/>
        <w:rPr>
          <w:rFonts w:ascii="仿宋" w:hAnsi="仿宋" w:eastAsia="仿宋"/>
          <w:sz w:val="32"/>
        </w:rPr>
      </w:pPr>
      <w:r>
        <w:rPr>
          <w:rFonts w:hint="eastAsia" w:eastAsia="仿宋_GB2312"/>
          <w:sz w:val="32"/>
          <w:lang w:val="en-US" w:eastAsia="zh-CN"/>
        </w:rPr>
        <w:t>（一）</w:t>
      </w:r>
      <w:r>
        <w:rPr>
          <w:rFonts w:hint="eastAsia" w:ascii="仿宋" w:hAnsi="仿宋" w:eastAsia="仿宋" w:cs="Times New Roman"/>
          <w:b w:val="0"/>
          <w:bCs w:val="0"/>
          <w:color w:val="auto"/>
          <w:kern w:val="2"/>
          <w:sz w:val="32"/>
          <w:szCs w:val="32"/>
          <w:lang w:val="en-US" w:eastAsia="zh-CN" w:bidi="ar-SA"/>
        </w:rPr>
        <w:t>上述</w:t>
      </w:r>
      <w:r>
        <w:rPr>
          <w:rFonts w:hint="eastAsia" w:ascii="仿宋" w:hAnsi="仿宋" w:eastAsia="仿宋"/>
          <w:sz w:val="32"/>
        </w:rPr>
        <w:t>宗地的竞买保证金为：</w:t>
      </w:r>
    </w:p>
    <w:p w14:paraId="41330BC4">
      <w:pPr>
        <w:spacing w:line="540" w:lineRule="exact"/>
        <w:ind w:firstLine="640" w:firstLineChars="200"/>
        <w:rPr>
          <w:rFonts w:hint="eastAsia" w:ascii="仿宋" w:hAnsi="仿宋" w:eastAsia="仿宋"/>
          <w:sz w:val="32"/>
          <w:szCs w:val="44"/>
          <w:lang w:val="en-US" w:eastAsia="zh-CN"/>
        </w:rPr>
      </w:pPr>
      <w:r>
        <w:rPr>
          <w:rFonts w:hint="eastAsia" w:ascii="仿宋" w:hAnsi="仿宋" w:eastAsia="仿宋"/>
          <w:sz w:val="32"/>
          <w:szCs w:val="44"/>
          <w:lang w:val="en-US" w:eastAsia="zh-CN"/>
        </w:rPr>
        <w:t>G25033号地块为</w:t>
      </w:r>
      <w:r>
        <w:rPr>
          <w:rFonts w:hint="eastAsia" w:ascii="仿宋" w:hAnsi="仿宋" w:eastAsia="仿宋"/>
          <w:sz w:val="32"/>
          <w:szCs w:val="44"/>
        </w:rPr>
        <w:t>人民币大写陆佰陆拾伍</w:t>
      </w:r>
      <w:r>
        <w:rPr>
          <w:rFonts w:hint="eastAsia" w:ascii="仿宋" w:hAnsi="仿宋" w:eastAsia="仿宋"/>
          <w:sz w:val="32"/>
          <w:szCs w:val="44"/>
          <w:lang w:val="en-US" w:eastAsia="zh-CN"/>
        </w:rPr>
        <w:t>万元整（</w:t>
      </w:r>
      <w:r>
        <w:rPr>
          <w:rFonts w:hint="eastAsia" w:ascii="仿宋" w:hAnsi="仿宋" w:eastAsia="仿宋"/>
          <w:sz w:val="32"/>
          <w:szCs w:val="44"/>
        </w:rPr>
        <w:t>￥</w:t>
      </w:r>
      <w:r>
        <w:rPr>
          <w:rFonts w:hint="eastAsia" w:ascii="仿宋" w:hAnsi="仿宋" w:eastAsia="仿宋"/>
          <w:sz w:val="32"/>
          <w:szCs w:val="44"/>
          <w:lang w:eastAsia="zh-CN"/>
        </w:rPr>
        <w:t>：</w:t>
      </w:r>
      <w:r>
        <w:rPr>
          <w:rFonts w:hint="eastAsia" w:ascii="仿宋" w:hAnsi="仿宋" w:eastAsia="仿宋"/>
          <w:sz w:val="32"/>
          <w:szCs w:val="44"/>
          <w:lang w:val="en-US" w:eastAsia="zh-CN"/>
        </w:rPr>
        <w:t>665</w:t>
      </w:r>
      <w:r>
        <w:rPr>
          <w:rFonts w:ascii="仿宋" w:hAnsi="仿宋" w:eastAsia="仿宋"/>
          <w:sz w:val="32"/>
          <w:szCs w:val="44"/>
        </w:rPr>
        <w:t>0000.00</w:t>
      </w:r>
      <w:r>
        <w:rPr>
          <w:rFonts w:hint="eastAsia" w:ascii="仿宋" w:hAnsi="仿宋" w:eastAsia="仿宋"/>
          <w:sz w:val="32"/>
          <w:szCs w:val="44"/>
          <w:lang w:val="en-US" w:eastAsia="zh-CN"/>
        </w:rPr>
        <w:t>）。</w:t>
      </w:r>
    </w:p>
    <w:p w14:paraId="006C1B2D">
      <w:pPr>
        <w:numPr>
          <w:ilvl w:val="0"/>
          <w:numId w:val="0"/>
        </w:numPr>
        <w:spacing w:line="540" w:lineRule="exact"/>
        <w:ind w:firstLine="640" w:firstLineChars="200"/>
        <w:rPr>
          <w:rFonts w:ascii="仿宋" w:hAnsi="仿宋" w:eastAsia="仿宋"/>
          <w:sz w:val="32"/>
        </w:rPr>
      </w:pPr>
      <w:r>
        <w:rPr>
          <w:rFonts w:hint="eastAsia" w:eastAsia="仿宋_GB2312"/>
          <w:sz w:val="32"/>
          <w:lang w:val="en-US" w:eastAsia="zh-CN"/>
        </w:rPr>
        <w:t>（二）</w:t>
      </w:r>
      <w:r>
        <w:rPr>
          <w:rFonts w:hint="eastAsia" w:ascii="仿宋" w:hAnsi="仿宋" w:eastAsia="仿宋" w:cs="Times New Roman"/>
          <w:b w:val="0"/>
          <w:bCs w:val="0"/>
          <w:color w:val="auto"/>
          <w:kern w:val="2"/>
          <w:sz w:val="32"/>
          <w:szCs w:val="32"/>
          <w:lang w:val="en-US" w:eastAsia="zh-CN" w:bidi="ar-SA"/>
        </w:rPr>
        <w:t>上述</w:t>
      </w:r>
      <w:r>
        <w:rPr>
          <w:rFonts w:hint="eastAsia" w:ascii="仿宋" w:hAnsi="仿宋" w:eastAsia="仿宋"/>
          <w:sz w:val="32"/>
        </w:rPr>
        <w:t>宗地的出让起始价、增价幅度</w:t>
      </w:r>
      <w:r>
        <w:rPr>
          <w:rFonts w:ascii="仿宋" w:hAnsi="仿宋" w:eastAsia="仿宋"/>
          <w:sz w:val="32"/>
        </w:rPr>
        <w:t xml:space="preserve"> </w:t>
      </w:r>
    </w:p>
    <w:p w14:paraId="2797CC57">
      <w:pPr>
        <w:spacing w:line="540" w:lineRule="exact"/>
        <w:ind w:firstLine="640" w:firstLineChars="200"/>
        <w:rPr>
          <w:rFonts w:hint="eastAsia" w:ascii="仿宋" w:hAnsi="仿宋" w:eastAsia="仿宋"/>
          <w:sz w:val="32"/>
        </w:rPr>
      </w:pPr>
      <w:r>
        <w:rPr>
          <w:rFonts w:hint="eastAsia" w:ascii="仿宋" w:hAnsi="仿宋" w:eastAsia="仿宋"/>
          <w:sz w:val="32"/>
          <w:szCs w:val="44"/>
          <w:lang w:val="en-US" w:eastAsia="zh-CN"/>
        </w:rPr>
        <w:t>G25033</w:t>
      </w:r>
      <w:r>
        <w:rPr>
          <w:rFonts w:hint="eastAsia" w:ascii="仿宋" w:hAnsi="仿宋" w:eastAsia="仿宋"/>
          <w:sz w:val="32"/>
        </w:rPr>
        <w:t>号地块：出让起始价为人民币大写壹仟叁佰叁拾万元整（￥</w:t>
      </w:r>
      <w:r>
        <w:rPr>
          <w:rFonts w:hint="eastAsia" w:ascii="仿宋" w:hAnsi="仿宋" w:eastAsia="仿宋"/>
          <w:sz w:val="32"/>
          <w:lang w:val="en-US" w:eastAsia="zh-CN"/>
        </w:rPr>
        <w:t>13300</w:t>
      </w:r>
      <w:r>
        <w:rPr>
          <w:rFonts w:ascii="仿宋" w:hAnsi="仿宋" w:eastAsia="仿宋"/>
          <w:sz w:val="32"/>
        </w:rPr>
        <w:t>000.00</w:t>
      </w:r>
      <w:r>
        <w:rPr>
          <w:rFonts w:hint="eastAsia" w:ascii="仿宋" w:hAnsi="仿宋" w:eastAsia="仿宋"/>
          <w:sz w:val="32"/>
        </w:rPr>
        <w:t>），增价幅度为人民币大写壹拾万元或壹拾万元的整倍数</w:t>
      </w:r>
      <w:r>
        <w:rPr>
          <w:rFonts w:hint="eastAsia" w:ascii="仿宋" w:hAnsi="仿宋" w:eastAsia="仿宋"/>
          <w:sz w:val="32"/>
          <w:lang w:eastAsia="zh-CN"/>
        </w:rPr>
        <w:t>。</w:t>
      </w:r>
    </w:p>
    <w:p w14:paraId="5FEFEA64">
      <w:pPr>
        <w:spacing w:line="540" w:lineRule="exact"/>
        <w:ind w:firstLine="640" w:firstLineChars="200"/>
        <w:rPr>
          <w:rFonts w:hint="eastAsia" w:eastAsia="仿宋_GB2312"/>
          <w:sz w:val="32"/>
          <w:lang w:val="zh-CN" w:eastAsia="zh-CN"/>
        </w:rPr>
      </w:pPr>
      <w:r>
        <w:rPr>
          <w:rFonts w:hint="eastAsia" w:eastAsia="仿宋_GB2312"/>
          <w:sz w:val="32"/>
          <w:lang w:val="en-US" w:eastAsia="zh-CN"/>
        </w:rPr>
        <w:t>（三）</w:t>
      </w:r>
      <w:r>
        <w:rPr>
          <w:rFonts w:hint="eastAsia" w:eastAsia="仿宋_GB2312"/>
          <w:sz w:val="32"/>
          <w:lang w:val="zh-CN" w:eastAsia="zh-CN"/>
        </w:rPr>
        <w:t>在报价期间，竞买人可多次报价。</w:t>
      </w:r>
    </w:p>
    <w:p w14:paraId="40288268">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zh-CN" w:eastAsia="zh-CN"/>
        </w:rPr>
      </w:pPr>
      <w:r>
        <w:rPr>
          <w:rFonts w:hint="eastAsia" w:eastAsia="仿宋_GB2312"/>
          <w:sz w:val="32"/>
          <w:lang w:val="zh-CN" w:eastAsia="zh-CN"/>
        </w:rPr>
        <w:t>（四）竞买人通过系统提交的报价一经报出，不得撤回。</w:t>
      </w:r>
    </w:p>
    <w:p w14:paraId="6ADD52E6">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zh-CN" w:eastAsia="zh-CN"/>
        </w:rPr>
      </w:pPr>
      <w:r>
        <w:rPr>
          <w:rFonts w:hint="eastAsia" w:eastAsia="仿宋_GB2312"/>
          <w:sz w:val="32"/>
          <w:lang w:val="zh-CN" w:eastAsia="zh-CN"/>
        </w:rPr>
        <w:t>（五）竞买人报价有下列情形之一的，为无效报价：</w:t>
      </w:r>
    </w:p>
    <w:p w14:paraId="209155E0">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zh-CN" w:eastAsia="zh-CN"/>
        </w:rPr>
      </w:pPr>
      <w:r>
        <w:rPr>
          <w:rFonts w:hint="eastAsia" w:eastAsia="仿宋_GB2312"/>
          <w:sz w:val="32"/>
          <w:lang w:val="zh-CN" w:eastAsia="zh-CN"/>
        </w:rPr>
        <w:t>1、报价因竞买人网络故障未在挂牌报价期限内报价的；</w:t>
      </w:r>
    </w:p>
    <w:p w14:paraId="53FBB843">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zh-CN" w:eastAsia="zh-CN"/>
        </w:rPr>
      </w:pPr>
      <w:r>
        <w:rPr>
          <w:rFonts w:hint="eastAsia" w:eastAsia="仿宋_GB2312"/>
          <w:sz w:val="32"/>
          <w:lang w:val="zh-CN" w:eastAsia="zh-CN"/>
        </w:rPr>
        <w:t>2、报价不符合报价规则的；</w:t>
      </w:r>
    </w:p>
    <w:p w14:paraId="4448F8BD">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zh-CN" w:eastAsia="zh-CN"/>
        </w:rPr>
      </w:pPr>
      <w:r>
        <w:rPr>
          <w:rFonts w:hint="eastAsia" w:eastAsia="仿宋_GB2312"/>
          <w:sz w:val="32"/>
          <w:lang w:val="zh-CN" w:eastAsia="zh-CN"/>
        </w:rPr>
        <w:t>3、报价与竞买文件不符的；</w:t>
      </w:r>
    </w:p>
    <w:p w14:paraId="3673D349">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zh-CN" w:eastAsia="zh-CN"/>
        </w:rPr>
      </w:pPr>
      <w:r>
        <w:rPr>
          <w:rFonts w:hint="eastAsia" w:eastAsia="仿宋_GB2312"/>
          <w:sz w:val="32"/>
          <w:lang w:val="zh-CN" w:eastAsia="zh-CN"/>
        </w:rPr>
        <w:t>4、报价不符合挂牌文件规定的其他情形的。</w:t>
      </w:r>
    </w:p>
    <w:p w14:paraId="062B291E">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en-US" w:eastAsia="zh-CN"/>
        </w:rPr>
      </w:pPr>
      <w:r>
        <w:rPr>
          <w:rFonts w:hint="eastAsia" w:eastAsia="仿宋_GB2312"/>
          <w:sz w:val="32"/>
          <w:lang w:val="en-US" w:eastAsia="zh-CN"/>
        </w:rPr>
        <w:t>十二、注意事项</w:t>
      </w:r>
    </w:p>
    <w:p w14:paraId="5A63CA10">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eastAsia="仿宋_GB2312"/>
          <w:sz w:val="32"/>
          <w:lang w:val="en-US" w:eastAsia="zh-CN"/>
        </w:rPr>
      </w:pPr>
      <w:r>
        <w:rPr>
          <w:rFonts w:hint="eastAsia" w:eastAsia="仿宋_GB2312"/>
          <w:sz w:val="32"/>
          <w:lang w:val="en-US" w:eastAsia="zh-CN"/>
        </w:rPr>
        <w:t>挂牌期满，网上挂牌出让成交确认系统根据下列条件自动确定竞得人：</w:t>
      </w:r>
    </w:p>
    <w:p w14:paraId="44CAA4ED">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eastAsia="仿宋_GB2312"/>
          <w:sz w:val="32"/>
          <w:lang w:val="en-US" w:eastAsia="zh-CN"/>
        </w:rPr>
      </w:pPr>
      <w:r>
        <w:rPr>
          <w:rFonts w:hint="eastAsia" w:eastAsia="仿宋_GB2312"/>
          <w:sz w:val="32"/>
          <w:lang w:val="en-US" w:eastAsia="zh-CN"/>
        </w:rPr>
        <w:t>（一）在挂牌期限内，只有一个竞买人报价，且报价等于或高于底价，挂牌成交；</w:t>
      </w:r>
    </w:p>
    <w:p w14:paraId="14058F8B">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eastAsia="仿宋_GB2312"/>
          <w:sz w:val="32"/>
          <w:lang w:val="en-US" w:eastAsia="zh-CN"/>
        </w:rPr>
      </w:pPr>
      <w:r>
        <w:rPr>
          <w:rFonts w:hint="eastAsia" w:eastAsia="仿宋_GB2312"/>
          <w:sz w:val="32"/>
          <w:lang w:val="en-US" w:eastAsia="zh-CN"/>
        </w:rPr>
        <w:t>（二）在挂牌期限内，有两个或者两个以上竞买人报价的，报价等于或高于底价，且出价最高者为竞得人；</w:t>
      </w:r>
    </w:p>
    <w:p w14:paraId="4DCC6A88">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eastAsia="仿宋_GB2312"/>
          <w:sz w:val="32"/>
          <w:lang w:val="en-US" w:eastAsia="zh-CN"/>
        </w:rPr>
      </w:pPr>
      <w:r>
        <w:rPr>
          <w:rFonts w:hint="eastAsia" w:eastAsia="仿宋_GB2312"/>
          <w:sz w:val="32"/>
          <w:lang w:val="en-US" w:eastAsia="zh-CN"/>
        </w:rPr>
        <w:t>（三）在挂牌期限内，无应价者或竞买人的报价均低于底价的，挂牌不成交；</w:t>
      </w:r>
    </w:p>
    <w:p w14:paraId="015010C3">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eastAsia="仿宋_GB2312"/>
          <w:sz w:val="32"/>
          <w:lang w:val="en-US" w:eastAsia="zh-CN"/>
        </w:rPr>
      </w:pPr>
      <w:r>
        <w:rPr>
          <w:rFonts w:hint="eastAsia" w:eastAsia="仿宋_GB2312"/>
          <w:sz w:val="32"/>
          <w:lang w:val="zh-CN" w:eastAsia="zh-CN"/>
        </w:rPr>
        <w:t>（四）</w:t>
      </w:r>
      <w:r>
        <w:rPr>
          <w:rFonts w:hint="eastAsia" w:eastAsia="仿宋_GB2312"/>
          <w:sz w:val="32"/>
          <w:lang w:val="en-US" w:eastAsia="zh-CN"/>
        </w:rPr>
        <w:t>在挂牌期限截止前10分钟，竞买人必须在挂牌报价期间最少有一次报价，才能进入最后的限时报价；</w:t>
      </w:r>
    </w:p>
    <w:p w14:paraId="6A83522D">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eastAsia="仿宋_GB2312"/>
          <w:sz w:val="32"/>
          <w:lang w:val="en-US" w:eastAsia="zh-CN"/>
        </w:rPr>
      </w:pPr>
      <w:r>
        <w:rPr>
          <w:rFonts w:hint="eastAsia" w:eastAsia="仿宋_GB2312"/>
          <w:sz w:val="32"/>
          <w:lang w:val="zh-CN" w:eastAsia="zh-CN"/>
        </w:rPr>
        <w:t>（</w:t>
      </w:r>
      <w:r>
        <w:rPr>
          <w:rFonts w:hint="eastAsia" w:eastAsia="仿宋_GB2312"/>
          <w:sz w:val="32"/>
          <w:lang w:val="en-US" w:eastAsia="zh-CN"/>
        </w:rPr>
        <w:t>五</w:t>
      </w:r>
      <w:r>
        <w:rPr>
          <w:rFonts w:hint="eastAsia" w:eastAsia="仿宋_GB2312"/>
          <w:sz w:val="32"/>
          <w:lang w:val="zh-CN" w:eastAsia="zh-CN"/>
        </w:rPr>
        <w:t>）</w:t>
      </w:r>
      <w:r>
        <w:rPr>
          <w:rFonts w:hint="eastAsia" w:eastAsia="仿宋_GB2312"/>
          <w:sz w:val="32"/>
          <w:lang w:val="en-US" w:eastAsia="zh-CN"/>
        </w:rPr>
        <w:t>在挂牌期限截止时前10分钟内仍有竞买人报价的，将对挂牌宗地进行网上限时竞价，报价最高且报价等于或高于底价者为竞得人。</w:t>
      </w:r>
    </w:p>
    <w:p w14:paraId="7B5D9D9A">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eastAsia="仿宋_GB2312"/>
          <w:sz w:val="32"/>
          <w:lang w:val="en-US" w:eastAsia="zh-CN"/>
        </w:rPr>
      </w:pPr>
      <w:r>
        <w:rPr>
          <w:rFonts w:hint="eastAsia" w:eastAsia="仿宋_GB2312"/>
          <w:sz w:val="32"/>
          <w:lang w:val="zh-CN" w:eastAsia="zh-CN"/>
        </w:rPr>
        <w:t>（</w:t>
      </w:r>
      <w:r>
        <w:rPr>
          <w:rFonts w:hint="eastAsia" w:eastAsia="仿宋_GB2312"/>
          <w:sz w:val="32"/>
          <w:lang w:val="en-US" w:eastAsia="zh-CN"/>
        </w:rPr>
        <w:t>六</w:t>
      </w:r>
      <w:r>
        <w:rPr>
          <w:rFonts w:hint="eastAsia" w:eastAsia="仿宋_GB2312"/>
          <w:sz w:val="32"/>
          <w:lang w:val="zh-CN" w:eastAsia="zh-CN"/>
        </w:rPr>
        <w:t>）</w:t>
      </w:r>
      <w:r>
        <w:rPr>
          <w:rFonts w:hint="eastAsia" w:eastAsia="仿宋_GB2312"/>
          <w:sz w:val="32"/>
          <w:lang w:val="en-US" w:eastAsia="zh-CN"/>
        </w:rPr>
        <w:t>本次交易活动限制存在失信记录的竞买申请人参与本次网上挂牌出让活动。竞买申请人提交申请前应当自行通过“信用中国”网站（http://www.creditchina.gov.cn）或各级信用共享平台查询是否有失信记录，并须做到在参加网上挂牌竞买活动期间无失信记录。竞得人在签订《成交确认书》前，大冶市公共资源交易中心通过“信用中国”网站查询竞得人是否存在失信记录并截图取证，竞得人存在失信记录的取消其竞得资格，交易结果无效，交纳的竞买保证金不予退还。</w:t>
      </w:r>
    </w:p>
    <w:p w14:paraId="6A9A284D">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eastAsia="仿宋_GB2312"/>
          <w:sz w:val="32"/>
          <w:lang w:val="en-US" w:eastAsia="zh-CN"/>
        </w:rPr>
      </w:pPr>
      <w:r>
        <w:rPr>
          <w:rFonts w:hint="eastAsia" w:eastAsia="仿宋_GB2312"/>
          <w:sz w:val="32"/>
          <w:lang w:val="en-US" w:eastAsia="zh-CN"/>
        </w:rPr>
        <w:t>（七）申请人竞得土地后，拟成立新公司进行开发建设的，应在申请书中明确新公司的出资构成、成立时间等内容。大冶市自然资源和规划局可以根据挂牌出让结果与竞得人签订《国有建设用地使用权出让合同》，在竞得人按约定办理完新公司注册登记手续后，再与新公司签订《国有建设用地使用权出让合同变更协议》，或者直接与新公司签订《国有建设用地使用权出让合同》。</w:t>
      </w:r>
    </w:p>
    <w:p w14:paraId="5B81C6AA">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eastAsia="仿宋_GB2312"/>
          <w:sz w:val="32"/>
          <w:lang w:val="en-US" w:eastAsia="zh-CN"/>
        </w:rPr>
      </w:pPr>
      <w:r>
        <w:rPr>
          <w:rFonts w:hint="eastAsia" w:eastAsia="仿宋_GB2312"/>
          <w:sz w:val="32"/>
          <w:lang w:val="en-US" w:eastAsia="zh-CN"/>
        </w:rPr>
        <w:t>非房地产开发企业</w:t>
      </w:r>
      <w:bookmarkStart w:id="0" w:name="_GoBack"/>
      <w:bookmarkEnd w:id="0"/>
      <w:r>
        <w:rPr>
          <w:rFonts w:hint="eastAsia" w:eastAsia="仿宋_GB2312"/>
          <w:sz w:val="32"/>
          <w:lang w:val="en-US" w:eastAsia="zh-CN"/>
        </w:rPr>
        <w:t>申请竞得土地后，拟与有资质房地产开发公司签订联合开发合同，依照有关法律、行政法规的规定，作价入股，合资、合作开发经营房地产的，应在申请书中明确联合开发企业的名称、合作时间、方式等内容。大冶市自然资源和规划局可以根据挂牌出让结果与竞得人签订《国有建设用地使用权出让合同》，在竞得人按约定落实联合开发事项后，再与合作企业签订《国有建设用地使用权出让合同变更协议》，或者直接与合作企业签订《国有建设用地使用权出让合同》。</w:t>
      </w:r>
    </w:p>
    <w:p w14:paraId="606CDDAD">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eastAsia="仿宋_GB2312"/>
          <w:sz w:val="32"/>
          <w:lang w:val="en-US" w:eastAsia="zh-CN"/>
        </w:rPr>
      </w:pPr>
      <w:r>
        <w:rPr>
          <w:rFonts w:hint="eastAsia" w:eastAsia="仿宋_GB2312"/>
          <w:sz w:val="32"/>
          <w:lang w:val="en-US" w:eastAsia="zh-CN"/>
        </w:rPr>
        <w:t>（八）本次公开出让地块均设有出让底价，在公开出让活动结束前须严格保密。</w:t>
      </w:r>
    </w:p>
    <w:p w14:paraId="0B7A2DC4">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eastAsia="仿宋_GB2312"/>
          <w:sz w:val="32"/>
          <w:lang w:val="en-US" w:eastAsia="zh-CN"/>
        </w:rPr>
      </w:pPr>
      <w:r>
        <w:rPr>
          <w:rFonts w:hint="eastAsia" w:eastAsia="仿宋_GB2312"/>
          <w:sz w:val="32"/>
          <w:lang w:val="en-US" w:eastAsia="zh-CN"/>
        </w:rPr>
        <w:t>（九）网上挂牌出让结果公布后，竞得人应当在3个工作日内持有关资料原件与大冶市自然资源和规划局签订《成交确认书》，委托人代签的，应提交法定代表人亲笔签名并盖章的授权委托书。《成交确认书》对出让人和竞得人具有法律效力，出让人改变公开出让结果的，或者竞得人放弃竞得宗地的，应当承担法律效力。</w:t>
      </w:r>
    </w:p>
    <w:p w14:paraId="05F9FA53">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eastAsia="仿宋_GB2312"/>
          <w:sz w:val="32"/>
          <w:lang w:val="en-US" w:eastAsia="zh-CN"/>
        </w:rPr>
      </w:pPr>
      <w:r>
        <w:rPr>
          <w:rFonts w:hint="eastAsia" w:eastAsia="仿宋_GB2312"/>
          <w:sz w:val="32"/>
          <w:lang w:val="en-US" w:eastAsia="zh-CN"/>
        </w:rPr>
        <w:t>（十）竞得人的竞买保证金转作受让地块的定金；未竞得人的竞买保证金将于网上挂牌活动结束后5个工作日内不计利息全额退还。</w:t>
      </w:r>
    </w:p>
    <w:p w14:paraId="5C27D82D">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eastAsia="仿宋_GB2312"/>
          <w:sz w:val="32"/>
          <w:lang w:val="zh-CN" w:eastAsia="zh-CN"/>
        </w:rPr>
      </w:pPr>
      <w:r>
        <w:rPr>
          <w:rFonts w:hint="eastAsia" w:eastAsia="仿宋_GB2312"/>
          <w:sz w:val="32"/>
          <w:lang w:val="zh-CN" w:eastAsia="zh-CN"/>
        </w:rPr>
        <w:t>（</w:t>
      </w:r>
      <w:r>
        <w:rPr>
          <w:rFonts w:hint="eastAsia" w:eastAsia="仿宋_GB2312"/>
          <w:sz w:val="32"/>
          <w:lang w:val="en-US" w:eastAsia="zh-CN"/>
        </w:rPr>
        <w:t>十一</w:t>
      </w:r>
      <w:r>
        <w:rPr>
          <w:rFonts w:hint="eastAsia" w:eastAsia="仿宋_GB2312"/>
          <w:sz w:val="32"/>
          <w:lang w:val="zh-CN" w:eastAsia="zh-CN"/>
        </w:rPr>
        <w:t>）有下列情形之一的，大冶市公共资源交易中心将中（终）止挂牌活动：</w:t>
      </w:r>
    </w:p>
    <w:p w14:paraId="2F999514">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eastAsia="仿宋_GB2312"/>
          <w:sz w:val="32"/>
          <w:lang w:val="zh-CN" w:eastAsia="zh-CN"/>
        </w:rPr>
      </w:pPr>
      <w:r>
        <w:rPr>
          <w:rFonts w:hint="eastAsia" w:eastAsia="仿宋_GB2312"/>
          <w:sz w:val="32"/>
          <w:lang w:val="zh-CN" w:eastAsia="zh-CN"/>
        </w:rPr>
        <w:t>1、因系统遭受破坏或发生电力、网络故障等不可抗力以及网络恶意入侵等非挂牌人因素，导致系统不能正常运行的；</w:t>
      </w:r>
    </w:p>
    <w:p w14:paraId="3CF7D26D">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eastAsia="仿宋_GB2312"/>
          <w:sz w:val="32"/>
          <w:lang w:val="zh-CN" w:eastAsia="zh-CN"/>
        </w:rPr>
      </w:pPr>
      <w:r>
        <w:rPr>
          <w:rFonts w:hint="eastAsia" w:eastAsia="仿宋_GB2312"/>
          <w:sz w:val="32"/>
          <w:lang w:val="zh-CN" w:eastAsia="zh-CN"/>
        </w:rPr>
        <w:t>2、竞买人串通损害国家利益、社会利益或他人合法权益的；</w:t>
      </w:r>
    </w:p>
    <w:p w14:paraId="024F632E">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eastAsia="仿宋_GB2312"/>
          <w:sz w:val="32"/>
          <w:lang w:val="zh-CN" w:eastAsia="zh-CN"/>
        </w:rPr>
      </w:pPr>
      <w:r>
        <w:rPr>
          <w:rFonts w:hint="eastAsia" w:eastAsia="仿宋_GB2312"/>
          <w:sz w:val="32"/>
          <w:lang w:val="zh-CN" w:eastAsia="zh-CN"/>
        </w:rPr>
        <w:t>3、出让工作人员私下接触竞买人，足以影响公开出让公正性的；</w:t>
      </w:r>
    </w:p>
    <w:p w14:paraId="698411D3">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eastAsia="仿宋_GB2312"/>
          <w:sz w:val="32"/>
          <w:lang w:val="zh-CN" w:eastAsia="zh-CN"/>
        </w:rPr>
      </w:pPr>
      <w:r>
        <w:rPr>
          <w:rFonts w:hint="eastAsia" w:eastAsia="仿宋_GB2312"/>
          <w:sz w:val="32"/>
          <w:lang w:val="zh-CN" w:eastAsia="zh-CN"/>
        </w:rPr>
        <w:t>4、应当依法中（终）止公开出让活动的其他情形。</w:t>
      </w:r>
    </w:p>
    <w:p w14:paraId="4AFC24AF">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eastAsia="仿宋_GB2312"/>
          <w:sz w:val="32"/>
          <w:lang w:val="zh-CN" w:eastAsia="zh-CN"/>
        </w:rPr>
      </w:pPr>
      <w:r>
        <w:rPr>
          <w:rFonts w:hint="eastAsia" w:eastAsia="仿宋_GB2312"/>
          <w:sz w:val="32"/>
          <w:lang w:val="zh-CN" w:eastAsia="zh-CN"/>
        </w:rPr>
        <w:t>（</w:t>
      </w:r>
      <w:r>
        <w:rPr>
          <w:rFonts w:hint="eastAsia" w:eastAsia="仿宋_GB2312"/>
          <w:sz w:val="32"/>
          <w:lang w:val="en-US" w:eastAsia="zh-CN"/>
        </w:rPr>
        <w:t>十二</w:t>
      </w:r>
      <w:r>
        <w:rPr>
          <w:rFonts w:hint="eastAsia" w:eastAsia="仿宋_GB2312"/>
          <w:sz w:val="32"/>
          <w:lang w:val="zh-CN" w:eastAsia="zh-CN"/>
        </w:rPr>
        <w:t>）竞得人有下列行为的视为违约，视为违约，出让人可取消其竞得人资格，竞买保证金不予退还：</w:t>
      </w:r>
    </w:p>
    <w:p w14:paraId="4B151876">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eastAsia="仿宋_GB2312"/>
          <w:sz w:val="32"/>
          <w:lang w:val="zh-CN" w:eastAsia="zh-CN"/>
        </w:rPr>
      </w:pPr>
      <w:r>
        <w:rPr>
          <w:rFonts w:hint="eastAsia" w:eastAsia="仿宋_GB2312"/>
          <w:sz w:val="32"/>
          <w:lang w:val="zh-CN" w:eastAsia="zh-CN"/>
        </w:rPr>
        <w:t>1、竞得人逾期或拒绝签订《成交确认书》的；</w:t>
      </w:r>
    </w:p>
    <w:p w14:paraId="2D038275">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eastAsia="仿宋_GB2312"/>
          <w:sz w:val="32"/>
          <w:lang w:val="zh-CN" w:eastAsia="zh-CN"/>
        </w:rPr>
      </w:pPr>
      <w:r>
        <w:rPr>
          <w:rFonts w:hint="eastAsia" w:eastAsia="仿宋_GB2312"/>
          <w:sz w:val="32"/>
          <w:lang w:val="zh-CN" w:eastAsia="zh-CN"/>
        </w:rPr>
        <w:t>2、竞得人逾期或拒绝签订《国有建设用地使用权出让合同》的；</w:t>
      </w:r>
    </w:p>
    <w:p w14:paraId="759FE45D">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eastAsia="仿宋_GB2312"/>
          <w:sz w:val="32"/>
          <w:lang w:val="en-US" w:eastAsia="zh-CN"/>
        </w:rPr>
      </w:pPr>
      <w:r>
        <w:rPr>
          <w:rFonts w:hint="eastAsia" w:eastAsia="仿宋_GB2312"/>
          <w:sz w:val="32"/>
          <w:lang w:val="zh-CN" w:eastAsia="zh-CN"/>
        </w:rPr>
        <w:t>（</w:t>
      </w:r>
      <w:r>
        <w:rPr>
          <w:rFonts w:hint="eastAsia" w:eastAsia="仿宋_GB2312"/>
          <w:sz w:val="32"/>
          <w:lang w:val="en-US" w:eastAsia="zh-CN"/>
        </w:rPr>
        <w:t>十三</w:t>
      </w:r>
      <w:r>
        <w:rPr>
          <w:rFonts w:hint="eastAsia" w:eastAsia="仿宋_GB2312"/>
          <w:sz w:val="32"/>
          <w:lang w:val="zh-CN" w:eastAsia="zh-CN"/>
        </w:rPr>
        <w:t>）竞得人有下列行为之一的，竞得结果无效，造成损失的，应当依法承担赔偿责任：</w:t>
      </w:r>
    </w:p>
    <w:p w14:paraId="3D7F77D3">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eastAsia="仿宋_GB2312"/>
          <w:sz w:val="32"/>
          <w:lang w:val="en-US" w:eastAsia="zh-CN"/>
        </w:rPr>
      </w:pPr>
      <w:r>
        <w:rPr>
          <w:rFonts w:hint="eastAsia" w:eastAsia="仿宋_GB2312"/>
          <w:sz w:val="32"/>
          <w:lang w:val="en-US" w:eastAsia="zh-CN"/>
        </w:rPr>
        <w:t>1、采取行贿、恶意串通等非法手段竞得的；</w:t>
      </w:r>
    </w:p>
    <w:p w14:paraId="6D5A3070">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eastAsia="仿宋_GB2312"/>
          <w:sz w:val="32"/>
          <w:lang w:val="en-US" w:eastAsia="zh-CN"/>
        </w:rPr>
      </w:pPr>
      <w:r>
        <w:rPr>
          <w:rFonts w:hint="eastAsia" w:eastAsia="仿宋_GB2312"/>
          <w:sz w:val="32"/>
          <w:lang w:val="en-US" w:eastAsia="zh-CN"/>
        </w:rPr>
        <w:t>2、提供的注册信息不真实、不准确、不完整等原因造成宗地出让无法成交的；</w:t>
      </w:r>
    </w:p>
    <w:p w14:paraId="4A7DE079">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eastAsia="仿宋_GB2312"/>
          <w:sz w:val="32"/>
          <w:lang w:val="en-US" w:eastAsia="zh-CN"/>
        </w:rPr>
      </w:pPr>
      <w:r>
        <w:rPr>
          <w:rFonts w:hint="eastAsia" w:eastAsia="仿宋_GB2312"/>
          <w:sz w:val="32"/>
          <w:lang w:val="en-US" w:eastAsia="zh-CN"/>
        </w:rPr>
        <w:t>3、不按网上注册时登记的内容提供有关文件材料，或提供虚假文件材料、隐瞒事实，引起出让纠纷的；</w:t>
      </w:r>
    </w:p>
    <w:p w14:paraId="08BF7306">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eastAsia="仿宋_GB2312"/>
          <w:sz w:val="32"/>
          <w:lang w:val="en-US" w:eastAsia="zh-CN"/>
        </w:rPr>
      </w:pPr>
      <w:r>
        <w:rPr>
          <w:rFonts w:hint="eastAsia" w:eastAsia="仿宋_GB2312"/>
          <w:sz w:val="32"/>
          <w:lang w:val="en-US" w:eastAsia="zh-CN"/>
        </w:rPr>
        <w:t>4、构成违约责任的其他行为。</w:t>
      </w:r>
    </w:p>
    <w:p w14:paraId="4C23040A">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eastAsia="仿宋_GB2312"/>
          <w:sz w:val="32"/>
          <w:lang w:val="en-US" w:eastAsia="zh-CN"/>
        </w:rPr>
      </w:pPr>
      <w:r>
        <w:rPr>
          <w:rFonts w:hint="eastAsia" w:eastAsia="仿宋_GB2312"/>
          <w:sz w:val="32"/>
          <w:lang w:val="en-US" w:eastAsia="zh-CN"/>
        </w:rPr>
        <w:t>（十四）上述宗地出让成交价为宗地的总地价款。</w:t>
      </w:r>
    </w:p>
    <w:p w14:paraId="47A0B4BA">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eastAsia="仿宋_GB2312"/>
          <w:sz w:val="32"/>
          <w:lang w:val="zh-CN" w:eastAsia="zh-CN"/>
        </w:rPr>
      </w:pPr>
      <w:r>
        <w:rPr>
          <w:rFonts w:hint="eastAsia" w:eastAsia="仿宋_GB2312"/>
          <w:sz w:val="32"/>
          <w:lang w:val="en-US" w:eastAsia="zh-CN"/>
        </w:rPr>
        <w:t>（十</w:t>
      </w:r>
      <w:r>
        <w:rPr>
          <w:rFonts w:hint="eastAsia" w:eastAsia="仿宋_GB2312"/>
          <w:sz w:val="32"/>
          <w:lang w:val="zh-CN" w:eastAsia="zh-CN"/>
        </w:rPr>
        <w:t>五</w:t>
      </w:r>
      <w:r>
        <w:rPr>
          <w:rFonts w:hint="eastAsia" w:eastAsia="仿宋_GB2312"/>
          <w:sz w:val="32"/>
          <w:lang w:val="en-US" w:eastAsia="zh-CN"/>
        </w:rPr>
        <w:t>）竞得人与出让人签订</w:t>
      </w:r>
      <w:r>
        <w:rPr>
          <w:rFonts w:hint="eastAsia" w:eastAsia="仿宋_GB2312"/>
          <w:sz w:val="32"/>
          <w:lang w:val="zh-CN" w:eastAsia="zh-CN"/>
        </w:rPr>
        <w:t>《国有建设用地使用权出让合同》后，应当按出让合同约定支付出让成交价款，竞得人不能按时支付国有建设用地使用权出让价款的，自滞纳之日起，每日按迟延支付款项的1‰向出让人缴纳违约金。竞得人付清全部出让成交价款后，依法申请办理土地登记。</w:t>
      </w:r>
    </w:p>
    <w:p w14:paraId="577E75D1">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eastAsia="仿宋_GB2312"/>
          <w:sz w:val="32"/>
          <w:lang w:val="zh-CN" w:eastAsia="zh-CN"/>
        </w:rPr>
      </w:pPr>
      <w:r>
        <w:rPr>
          <w:rFonts w:hint="eastAsia" w:eastAsia="仿宋_GB2312"/>
          <w:sz w:val="32"/>
          <w:lang w:val="zh-CN" w:eastAsia="zh-CN"/>
        </w:rPr>
        <w:t>（十六）公开出让不成交的，应当按规定由大冶市公共资源交易中心重新组织出让。</w:t>
      </w:r>
    </w:p>
    <w:p w14:paraId="3B257A8A">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eastAsia="仿宋_GB2312"/>
          <w:sz w:val="32"/>
          <w:lang w:val="zh-CN" w:eastAsia="zh-CN"/>
        </w:rPr>
      </w:pPr>
      <w:r>
        <w:rPr>
          <w:rFonts w:hint="eastAsia" w:eastAsia="仿宋_GB2312"/>
          <w:sz w:val="32"/>
          <w:lang w:val="zh-CN" w:eastAsia="zh-CN"/>
        </w:rPr>
        <w:t>（十七）参加公开出让活动的人员，应遵守现场的纪律，服从管理人员的管理。</w:t>
      </w:r>
    </w:p>
    <w:p w14:paraId="76B838BD">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eastAsia="仿宋_GB2312"/>
          <w:sz w:val="32"/>
          <w:lang w:val="en-US" w:eastAsia="zh-CN"/>
        </w:rPr>
      </w:pPr>
      <w:r>
        <w:rPr>
          <w:rFonts w:hint="eastAsia" w:eastAsia="仿宋_GB2312"/>
          <w:sz w:val="32"/>
          <w:lang w:val="zh-CN" w:eastAsia="zh-CN"/>
        </w:rPr>
        <w:t>（十</w:t>
      </w:r>
      <w:r>
        <w:rPr>
          <w:rFonts w:hint="eastAsia" w:eastAsia="仿宋_GB2312"/>
          <w:sz w:val="32"/>
          <w:lang w:val="en-US" w:eastAsia="zh-CN"/>
        </w:rPr>
        <w:t>八</w:t>
      </w:r>
      <w:r>
        <w:rPr>
          <w:rFonts w:hint="eastAsia" w:eastAsia="仿宋_GB2312"/>
          <w:sz w:val="32"/>
          <w:lang w:val="zh-CN" w:eastAsia="zh-CN"/>
        </w:rPr>
        <w:t>）大冶市自然资源和规划局和大冶市公共资源交易中心对本《出让须知》有解释权。未尽事宜依照《招标拍卖挂牌出让国有土地使用权规范》办理。</w:t>
      </w:r>
    </w:p>
    <w:p w14:paraId="24F14D7A">
      <w:pPr>
        <w:keepNext w:val="0"/>
        <w:keepLines w:val="0"/>
        <w:pageBreakBefore w:val="0"/>
        <w:widowControl w:val="0"/>
        <w:kinsoku/>
        <w:wordWrap/>
        <w:overflowPunct/>
        <w:topLinePunct w:val="0"/>
        <w:autoSpaceDE/>
        <w:autoSpaceDN/>
        <w:bidi w:val="0"/>
        <w:adjustRightInd/>
        <w:snapToGrid/>
        <w:spacing w:line="440" w:lineRule="exact"/>
        <w:ind w:firstLine="3200" w:firstLineChars="1000"/>
        <w:textAlignment w:val="auto"/>
        <w:rPr>
          <w:rFonts w:hint="eastAsia" w:eastAsia="仿宋_GB2312"/>
          <w:sz w:val="32"/>
          <w:lang w:val="en-US" w:eastAsia="zh-CN"/>
        </w:rPr>
      </w:pPr>
      <w:r>
        <w:rPr>
          <w:rFonts w:hint="eastAsia" w:eastAsia="仿宋_GB2312"/>
          <w:sz w:val="32"/>
          <w:lang w:val="en-US" w:eastAsia="zh-CN"/>
        </w:rPr>
        <w:t>出让人: 大冶市自然资源和规划局</w:t>
      </w:r>
    </w:p>
    <w:p w14:paraId="1F43B588">
      <w:pPr>
        <w:keepNext w:val="0"/>
        <w:keepLines w:val="0"/>
        <w:pageBreakBefore w:val="0"/>
        <w:widowControl w:val="0"/>
        <w:kinsoku/>
        <w:wordWrap/>
        <w:overflowPunct/>
        <w:topLinePunct w:val="0"/>
        <w:autoSpaceDE/>
        <w:autoSpaceDN/>
        <w:bidi w:val="0"/>
        <w:adjustRightInd/>
        <w:snapToGrid/>
        <w:spacing w:line="440" w:lineRule="exact"/>
        <w:ind w:firstLine="3200" w:firstLineChars="1000"/>
        <w:textAlignment w:val="auto"/>
        <w:rPr>
          <w:rFonts w:hint="eastAsia" w:eastAsia="仿宋_GB2312"/>
          <w:sz w:val="32"/>
          <w:lang w:val="en-US" w:eastAsia="zh-CN"/>
        </w:rPr>
      </w:pPr>
      <w:r>
        <w:rPr>
          <w:rFonts w:hint="eastAsia" w:eastAsia="仿宋_GB2312"/>
          <w:sz w:val="32"/>
          <w:lang w:val="en-US" w:eastAsia="zh-CN"/>
        </w:rPr>
        <w:t>挂牌人：大冶市公共资源交易中心</w:t>
      </w:r>
    </w:p>
    <w:p w14:paraId="5CBAF781">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en-US" w:eastAsia="zh-CN"/>
        </w:rPr>
      </w:pPr>
      <w:r>
        <w:rPr>
          <w:rFonts w:hint="eastAsia" w:eastAsia="仿宋_GB2312"/>
          <w:sz w:val="32"/>
          <w:lang w:val="en-US" w:eastAsia="zh-CN"/>
        </w:rPr>
        <w:t xml:space="preserve">                          2025年8月21日</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B8BB4B">
    <w:pPr>
      <w:pStyle w:val="5"/>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sdt>
                          <w:sdtPr>
                            <w:id w:val="-992712992"/>
                          </w:sdtPr>
                          <w:sdtContent>
                            <w:p w14:paraId="14E41ADE">
                              <w:pPr>
                                <w:pStyle w:val="5"/>
                                <w:jc w:val="center"/>
                              </w:pPr>
                              <w:r>
                                <w:fldChar w:fldCharType="begin"/>
                              </w:r>
                              <w:r>
                                <w:instrText xml:space="preserve">PAGE   \* MERGEFORMAT</w:instrText>
                              </w:r>
                              <w:r>
                                <w:fldChar w:fldCharType="separate"/>
                              </w:r>
                              <w:r>
                                <w:rPr>
                                  <w:lang w:val="zh-CN"/>
                                </w:rPr>
                                <w:t>1</w:t>
                              </w:r>
                              <w:r>
                                <w:fldChar w:fldCharType="end"/>
                              </w:r>
                            </w:p>
                          </w:sdtContent>
                        </w:sdt>
                        <w:p w14:paraId="718BB3D8"/>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sdt>
                    <w:sdtPr>
                      <w:id w:val="-992712992"/>
                    </w:sdtPr>
                    <w:sdtContent>
                      <w:p w14:paraId="14E41ADE">
                        <w:pPr>
                          <w:pStyle w:val="5"/>
                          <w:jc w:val="center"/>
                        </w:pPr>
                        <w:r>
                          <w:fldChar w:fldCharType="begin"/>
                        </w:r>
                        <w:r>
                          <w:instrText xml:space="preserve">PAGE   \* MERGEFORMAT</w:instrText>
                        </w:r>
                        <w:r>
                          <w:fldChar w:fldCharType="separate"/>
                        </w:r>
                        <w:r>
                          <w:rPr>
                            <w:lang w:val="zh-CN"/>
                          </w:rPr>
                          <w:t>1</w:t>
                        </w:r>
                        <w:r>
                          <w:fldChar w:fldCharType="end"/>
                        </w:r>
                      </w:p>
                    </w:sdtContent>
                  </w:sdt>
                  <w:p w14:paraId="718BB3D8"/>
                </w:txbxContent>
              </v:textbox>
            </v:shape>
          </w:pict>
        </mc:Fallback>
      </mc:AlternateContent>
    </w:r>
  </w:p>
  <w:p w14:paraId="7CDCA91D">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62411A">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63E1BE"/>
    <w:multiLevelType w:val="singleLevel"/>
    <w:tmpl w:val="1F63E1BE"/>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I2YzIwOTA2MDQyYmUyOGZkNDJhMzNiZDQ2ODljMTMifQ=="/>
  </w:docVars>
  <w:rsids>
    <w:rsidRoot w:val="00485EA7"/>
    <w:rsid w:val="00017D57"/>
    <w:rsid w:val="0004655D"/>
    <w:rsid w:val="00063C93"/>
    <w:rsid w:val="000B0193"/>
    <w:rsid w:val="000B369F"/>
    <w:rsid w:val="0013704A"/>
    <w:rsid w:val="00161710"/>
    <w:rsid w:val="00191FA6"/>
    <w:rsid w:val="001F0BC6"/>
    <w:rsid w:val="002169D1"/>
    <w:rsid w:val="00256845"/>
    <w:rsid w:val="00274595"/>
    <w:rsid w:val="00384597"/>
    <w:rsid w:val="003C2082"/>
    <w:rsid w:val="003D407D"/>
    <w:rsid w:val="004668F7"/>
    <w:rsid w:val="004707F7"/>
    <w:rsid w:val="00485EA7"/>
    <w:rsid w:val="004A7191"/>
    <w:rsid w:val="004F5862"/>
    <w:rsid w:val="00526F71"/>
    <w:rsid w:val="00537E93"/>
    <w:rsid w:val="00581546"/>
    <w:rsid w:val="0059520E"/>
    <w:rsid w:val="005E08BE"/>
    <w:rsid w:val="00651652"/>
    <w:rsid w:val="006903AF"/>
    <w:rsid w:val="006A1119"/>
    <w:rsid w:val="006E3433"/>
    <w:rsid w:val="00750654"/>
    <w:rsid w:val="00772468"/>
    <w:rsid w:val="007978A7"/>
    <w:rsid w:val="007A23C5"/>
    <w:rsid w:val="007A68C0"/>
    <w:rsid w:val="007F6B22"/>
    <w:rsid w:val="0086539F"/>
    <w:rsid w:val="008832BA"/>
    <w:rsid w:val="008F4E15"/>
    <w:rsid w:val="008F5690"/>
    <w:rsid w:val="00935A74"/>
    <w:rsid w:val="00954E25"/>
    <w:rsid w:val="009B3888"/>
    <w:rsid w:val="009B6922"/>
    <w:rsid w:val="00A07983"/>
    <w:rsid w:val="00A262DF"/>
    <w:rsid w:val="00A41AA2"/>
    <w:rsid w:val="00A61DA6"/>
    <w:rsid w:val="00A76A57"/>
    <w:rsid w:val="00A81E04"/>
    <w:rsid w:val="00AC2AE1"/>
    <w:rsid w:val="00AE3E74"/>
    <w:rsid w:val="00AE56BD"/>
    <w:rsid w:val="00B23622"/>
    <w:rsid w:val="00B3093C"/>
    <w:rsid w:val="00B31EB2"/>
    <w:rsid w:val="00B32B82"/>
    <w:rsid w:val="00B53BC3"/>
    <w:rsid w:val="00B759F5"/>
    <w:rsid w:val="00BD6DC2"/>
    <w:rsid w:val="00BF43F5"/>
    <w:rsid w:val="00BF48D1"/>
    <w:rsid w:val="00C12AC2"/>
    <w:rsid w:val="00C5453F"/>
    <w:rsid w:val="00C820DF"/>
    <w:rsid w:val="00D3529F"/>
    <w:rsid w:val="00D515AA"/>
    <w:rsid w:val="00D53510"/>
    <w:rsid w:val="00DB28EB"/>
    <w:rsid w:val="00DF0199"/>
    <w:rsid w:val="00DF51C4"/>
    <w:rsid w:val="00E338A3"/>
    <w:rsid w:val="00E3595E"/>
    <w:rsid w:val="00EB635F"/>
    <w:rsid w:val="00ED7D7C"/>
    <w:rsid w:val="00F01FAE"/>
    <w:rsid w:val="00F8183B"/>
    <w:rsid w:val="00FA5FC1"/>
    <w:rsid w:val="01470A8A"/>
    <w:rsid w:val="0234146B"/>
    <w:rsid w:val="026B1CAC"/>
    <w:rsid w:val="02A6208A"/>
    <w:rsid w:val="03192F53"/>
    <w:rsid w:val="03A57BB6"/>
    <w:rsid w:val="03AD4F46"/>
    <w:rsid w:val="03F903E8"/>
    <w:rsid w:val="040A6059"/>
    <w:rsid w:val="044C5C91"/>
    <w:rsid w:val="04F251B7"/>
    <w:rsid w:val="06D27B45"/>
    <w:rsid w:val="07136F21"/>
    <w:rsid w:val="078F5063"/>
    <w:rsid w:val="080E64F0"/>
    <w:rsid w:val="09395457"/>
    <w:rsid w:val="09451E80"/>
    <w:rsid w:val="099215DD"/>
    <w:rsid w:val="09DC19A3"/>
    <w:rsid w:val="09E069E0"/>
    <w:rsid w:val="0B5517FF"/>
    <w:rsid w:val="0B947424"/>
    <w:rsid w:val="0B972846"/>
    <w:rsid w:val="0B9C0B56"/>
    <w:rsid w:val="0BBB6D74"/>
    <w:rsid w:val="0C0C6FFE"/>
    <w:rsid w:val="0C1E24BA"/>
    <w:rsid w:val="0C5276F6"/>
    <w:rsid w:val="0C85710C"/>
    <w:rsid w:val="0CB32891"/>
    <w:rsid w:val="0CD43832"/>
    <w:rsid w:val="0CE20A75"/>
    <w:rsid w:val="0D0237E6"/>
    <w:rsid w:val="0D4E2433"/>
    <w:rsid w:val="0E245DB5"/>
    <w:rsid w:val="0F2B21D1"/>
    <w:rsid w:val="10033E05"/>
    <w:rsid w:val="103310FF"/>
    <w:rsid w:val="10B615B1"/>
    <w:rsid w:val="1173458B"/>
    <w:rsid w:val="12A56387"/>
    <w:rsid w:val="12AD58FA"/>
    <w:rsid w:val="12D431CA"/>
    <w:rsid w:val="134E4D7B"/>
    <w:rsid w:val="13C97AB2"/>
    <w:rsid w:val="14692D4B"/>
    <w:rsid w:val="15183C46"/>
    <w:rsid w:val="1589624B"/>
    <w:rsid w:val="16F15C1A"/>
    <w:rsid w:val="17125A2B"/>
    <w:rsid w:val="1747408E"/>
    <w:rsid w:val="17987ED6"/>
    <w:rsid w:val="17AD036A"/>
    <w:rsid w:val="17C07B85"/>
    <w:rsid w:val="1A3F6FDA"/>
    <w:rsid w:val="1A422262"/>
    <w:rsid w:val="1A4C1469"/>
    <w:rsid w:val="1A644ACB"/>
    <w:rsid w:val="1B3E3158"/>
    <w:rsid w:val="1BBD054F"/>
    <w:rsid w:val="1BE44CD8"/>
    <w:rsid w:val="1D8115EF"/>
    <w:rsid w:val="1D850D43"/>
    <w:rsid w:val="1DD67227"/>
    <w:rsid w:val="1EBC1E87"/>
    <w:rsid w:val="1EBE4CE7"/>
    <w:rsid w:val="1ED42593"/>
    <w:rsid w:val="1ED456D5"/>
    <w:rsid w:val="1EFB4DF0"/>
    <w:rsid w:val="1F107A0B"/>
    <w:rsid w:val="1F490FDE"/>
    <w:rsid w:val="1F4D7A5F"/>
    <w:rsid w:val="1F7B1B2B"/>
    <w:rsid w:val="1FC47655"/>
    <w:rsid w:val="205B3537"/>
    <w:rsid w:val="211F27A2"/>
    <w:rsid w:val="21E31DAC"/>
    <w:rsid w:val="220F2576"/>
    <w:rsid w:val="22341638"/>
    <w:rsid w:val="23C633D6"/>
    <w:rsid w:val="24871F79"/>
    <w:rsid w:val="24F102EF"/>
    <w:rsid w:val="253F3C7F"/>
    <w:rsid w:val="256F1F2A"/>
    <w:rsid w:val="25EA1EE5"/>
    <w:rsid w:val="264F1406"/>
    <w:rsid w:val="26D133AD"/>
    <w:rsid w:val="27602533"/>
    <w:rsid w:val="276F6AA3"/>
    <w:rsid w:val="27A02CD7"/>
    <w:rsid w:val="283B51DE"/>
    <w:rsid w:val="286E2172"/>
    <w:rsid w:val="29196318"/>
    <w:rsid w:val="295343F4"/>
    <w:rsid w:val="298F59D8"/>
    <w:rsid w:val="29BA06E9"/>
    <w:rsid w:val="29D82F19"/>
    <w:rsid w:val="2A9E025F"/>
    <w:rsid w:val="2AA60373"/>
    <w:rsid w:val="2AAF3CF3"/>
    <w:rsid w:val="2B7F49F2"/>
    <w:rsid w:val="2B921CB8"/>
    <w:rsid w:val="2CBC41A6"/>
    <w:rsid w:val="2CC26F77"/>
    <w:rsid w:val="2CEC7851"/>
    <w:rsid w:val="2CFC4874"/>
    <w:rsid w:val="2D5A2D35"/>
    <w:rsid w:val="2DD07165"/>
    <w:rsid w:val="2EFC40D4"/>
    <w:rsid w:val="2F1561E6"/>
    <w:rsid w:val="2FD004EE"/>
    <w:rsid w:val="2FFB1718"/>
    <w:rsid w:val="30213B91"/>
    <w:rsid w:val="308E5759"/>
    <w:rsid w:val="312943A1"/>
    <w:rsid w:val="31B7353F"/>
    <w:rsid w:val="31ED20B3"/>
    <w:rsid w:val="32AA709A"/>
    <w:rsid w:val="33C92C70"/>
    <w:rsid w:val="33CB05F6"/>
    <w:rsid w:val="347539F9"/>
    <w:rsid w:val="351155A5"/>
    <w:rsid w:val="353C34F0"/>
    <w:rsid w:val="35D81069"/>
    <w:rsid w:val="35EE6569"/>
    <w:rsid w:val="36B1178F"/>
    <w:rsid w:val="36FC067D"/>
    <w:rsid w:val="38E649E2"/>
    <w:rsid w:val="39C20B54"/>
    <w:rsid w:val="3A355F7C"/>
    <w:rsid w:val="3A6E421F"/>
    <w:rsid w:val="3A737EEC"/>
    <w:rsid w:val="3B3B6E0D"/>
    <w:rsid w:val="3B4F1036"/>
    <w:rsid w:val="3B981C9E"/>
    <w:rsid w:val="3BB21864"/>
    <w:rsid w:val="3BDF1A38"/>
    <w:rsid w:val="3BE4530F"/>
    <w:rsid w:val="3C6F3E3B"/>
    <w:rsid w:val="3CFD528C"/>
    <w:rsid w:val="3EB013AB"/>
    <w:rsid w:val="3F5D58F1"/>
    <w:rsid w:val="3FAF7EBF"/>
    <w:rsid w:val="3FCC6897"/>
    <w:rsid w:val="405C5A84"/>
    <w:rsid w:val="40D13944"/>
    <w:rsid w:val="4221748A"/>
    <w:rsid w:val="423D466F"/>
    <w:rsid w:val="428B4359"/>
    <w:rsid w:val="42B03CCC"/>
    <w:rsid w:val="42B768CD"/>
    <w:rsid w:val="42CC3F33"/>
    <w:rsid w:val="43207D0A"/>
    <w:rsid w:val="43631EE8"/>
    <w:rsid w:val="43B35BE1"/>
    <w:rsid w:val="43CB3901"/>
    <w:rsid w:val="443E1BD5"/>
    <w:rsid w:val="44F53EC9"/>
    <w:rsid w:val="451A11C3"/>
    <w:rsid w:val="453B3109"/>
    <w:rsid w:val="456C7660"/>
    <w:rsid w:val="45B349FB"/>
    <w:rsid w:val="45CC4C92"/>
    <w:rsid w:val="46BD5C01"/>
    <w:rsid w:val="47066E73"/>
    <w:rsid w:val="473000FD"/>
    <w:rsid w:val="47697F3B"/>
    <w:rsid w:val="47B45F3C"/>
    <w:rsid w:val="48053C34"/>
    <w:rsid w:val="48123E79"/>
    <w:rsid w:val="497C22B2"/>
    <w:rsid w:val="49D076B0"/>
    <w:rsid w:val="4A1417AA"/>
    <w:rsid w:val="4A5D7320"/>
    <w:rsid w:val="4B5D2B2A"/>
    <w:rsid w:val="4CD36D03"/>
    <w:rsid w:val="4CD73D60"/>
    <w:rsid w:val="4D342AC5"/>
    <w:rsid w:val="4D694DA4"/>
    <w:rsid w:val="4D6B42BE"/>
    <w:rsid w:val="4DCA136A"/>
    <w:rsid w:val="4DFE6388"/>
    <w:rsid w:val="4ECF6BCC"/>
    <w:rsid w:val="508B38AC"/>
    <w:rsid w:val="50B259D2"/>
    <w:rsid w:val="50F53BA8"/>
    <w:rsid w:val="51F11F6A"/>
    <w:rsid w:val="5229107C"/>
    <w:rsid w:val="527349B4"/>
    <w:rsid w:val="52E10274"/>
    <w:rsid w:val="53572425"/>
    <w:rsid w:val="53CA7249"/>
    <w:rsid w:val="549A08F7"/>
    <w:rsid w:val="55470037"/>
    <w:rsid w:val="55A236BA"/>
    <w:rsid w:val="55CD0E83"/>
    <w:rsid w:val="567B53FF"/>
    <w:rsid w:val="57A73D22"/>
    <w:rsid w:val="585D638C"/>
    <w:rsid w:val="58987D0A"/>
    <w:rsid w:val="592839E3"/>
    <w:rsid w:val="593517E3"/>
    <w:rsid w:val="59455451"/>
    <w:rsid w:val="598F6A85"/>
    <w:rsid w:val="5A812739"/>
    <w:rsid w:val="5AB77DD7"/>
    <w:rsid w:val="5BAE76FF"/>
    <w:rsid w:val="5BBE76F4"/>
    <w:rsid w:val="5BE91279"/>
    <w:rsid w:val="5CA01AB6"/>
    <w:rsid w:val="5EBD399D"/>
    <w:rsid w:val="5F4212D9"/>
    <w:rsid w:val="5FB04F89"/>
    <w:rsid w:val="600E1E6F"/>
    <w:rsid w:val="61922484"/>
    <w:rsid w:val="61A67C9A"/>
    <w:rsid w:val="61CA201F"/>
    <w:rsid w:val="621C1ADB"/>
    <w:rsid w:val="621C3A13"/>
    <w:rsid w:val="625C2BFE"/>
    <w:rsid w:val="625C3E83"/>
    <w:rsid w:val="631312C7"/>
    <w:rsid w:val="63620E0E"/>
    <w:rsid w:val="63B86D94"/>
    <w:rsid w:val="63DC30DC"/>
    <w:rsid w:val="643B7D84"/>
    <w:rsid w:val="65822F4C"/>
    <w:rsid w:val="65AF5444"/>
    <w:rsid w:val="65E71F28"/>
    <w:rsid w:val="6629349B"/>
    <w:rsid w:val="666F3498"/>
    <w:rsid w:val="66A23BB0"/>
    <w:rsid w:val="66AD7815"/>
    <w:rsid w:val="67AF42C4"/>
    <w:rsid w:val="67D853AC"/>
    <w:rsid w:val="68A70936"/>
    <w:rsid w:val="69264FE4"/>
    <w:rsid w:val="69445670"/>
    <w:rsid w:val="69520885"/>
    <w:rsid w:val="69E132A1"/>
    <w:rsid w:val="6CD66CA4"/>
    <w:rsid w:val="6D5710EB"/>
    <w:rsid w:val="6D9D7DC0"/>
    <w:rsid w:val="6DB01FA2"/>
    <w:rsid w:val="6EEF41B0"/>
    <w:rsid w:val="6F772A31"/>
    <w:rsid w:val="6F904D6D"/>
    <w:rsid w:val="70274708"/>
    <w:rsid w:val="70CC7133"/>
    <w:rsid w:val="71723ECA"/>
    <w:rsid w:val="71CC141B"/>
    <w:rsid w:val="72F93BFA"/>
    <w:rsid w:val="730F7E05"/>
    <w:rsid w:val="73536E8D"/>
    <w:rsid w:val="73935E33"/>
    <w:rsid w:val="74B717BB"/>
    <w:rsid w:val="74B74C17"/>
    <w:rsid w:val="754679FD"/>
    <w:rsid w:val="7547692F"/>
    <w:rsid w:val="76BB6642"/>
    <w:rsid w:val="76BE35C4"/>
    <w:rsid w:val="76E70A9E"/>
    <w:rsid w:val="773D0CC8"/>
    <w:rsid w:val="77E45344"/>
    <w:rsid w:val="77F95CBE"/>
    <w:rsid w:val="7812538D"/>
    <w:rsid w:val="79DA24A9"/>
    <w:rsid w:val="7A255AF3"/>
    <w:rsid w:val="7A5A6AA7"/>
    <w:rsid w:val="7A7E636C"/>
    <w:rsid w:val="7BF939F1"/>
    <w:rsid w:val="7C157AF8"/>
    <w:rsid w:val="7C5652B8"/>
    <w:rsid w:val="7C8E2DE4"/>
    <w:rsid w:val="7D9032CF"/>
    <w:rsid w:val="7E4E3F93"/>
    <w:rsid w:val="7E510DCF"/>
    <w:rsid w:val="7EB413CA"/>
    <w:rsid w:val="7FAC5749"/>
    <w:rsid w:val="7FB950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Body Text Indent"/>
    <w:basedOn w:val="1"/>
    <w:link w:val="12"/>
    <w:qFormat/>
    <w:uiPriority w:val="0"/>
    <w:pPr>
      <w:spacing w:line="540" w:lineRule="exact"/>
      <w:ind w:firstLine="643" w:firstLineChars="200"/>
    </w:pPr>
    <w:rPr>
      <w:rFonts w:ascii="Times New Roman" w:hAnsi="Times New Roman" w:eastAsia="仿宋_GB2312" w:cs="Times New Roman"/>
      <w:b/>
      <w:bCs/>
      <w:sz w:val="32"/>
      <w:szCs w:val="24"/>
    </w:rPr>
  </w:style>
  <w:style w:type="paragraph" w:styleId="3">
    <w:name w:val="Body Text Indent 2"/>
    <w:basedOn w:val="1"/>
    <w:autoRedefine/>
    <w:semiHidden/>
    <w:unhideWhenUsed/>
    <w:qFormat/>
    <w:uiPriority w:val="99"/>
    <w:pPr>
      <w:spacing w:line="580" w:lineRule="exact"/>
      <w:ind w:firstLine="640" w:firstLineChars="200"/>
    </w:pPr>
    <w:rPr>
      <w:rFonts w:ascii="仿宋_GB2312" w:eastAsia="仿宋_GB2312"/>
      <w:sz w:val="32"/>
    </w:rPr>
  </w:style>
  <w:style w:type="paragraph" w:styleId="4">
    <w:name w:val="Balloon Text"/>
    <w:basedOn w:val="1"/>
    <w:link w:val="13"/>
    <w:autoRedefine/>
    <w:unhideWhenUsed/>
    <w:qFormat/>
    <w:uiPriority w:val="99"/>
    <w:rPr>
      <w:sz w:val="18"/>
      <w:szCs w:val="18"/>
    </w:rPr>
  </w:style>
  <w:style w:type="paragraph" w:styleId="5">
    <w:name w:val="footer"/>
    <w:basedOn w:val="1"/>
    <w:link w:val="10"/>
    <w:autoRedefine/>
    <w:unhideWhenUsed/>
    <w:qFormat/>
    <w:uiPriority w:val="99"/>
    <w:pPr>
      <w:tabs>
        <w:tab w:val="center" w:pos="4153"/>
        <w:tab w:val="right" w:pos="8306"/>
      </w:tabs>
      <w:snapToGrid w:val="0"/>
      <w:jc w:val="left"/>
    </w:pPr>
    <w:rPr>
      <w:sz w:val="18"/>
      <w:szCs w:val="18"/>
    </w:rPr>
  </w:style>
  <w:style w:type="paragraph" w:styleId="6">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页眉 Char"/>
    <w:basedOn w:val="8"/>
    <w:link w:val="6"/>
    <w:autoRedefine/>
    <w:qFormat/>
    <w:uiPriority w:val="99"/>
    <w:rPr>
      <w:sz w:val="18"/>
      <w:szCs w:val="18"/>
    </w:rPr>
  </w:style>
  <w:style w:type="character" w:customStyle="1" w:styleId="10">
    <w:name w:val="页脚 Char"/>
    <w:basedOn w:val="8"/>
    <w:link w:val="5"/>
    <w:autoRedefine/>
    <w:qFormat/>
    <w:uiPriority w:val="99"/>
    <w:rPr>
      <w:sz w:val="18"/>
      <w:szCs w:val="18"/>
    </w:rPr>
  </w:style>
  <w:style w:type="character" w:customStyle="1" w:styleId="11">
    <w:name w:val="font11"/>
    <w:basedOn w:val="8"/>
    <w:autoRedefine/>
    <w:qFormat/>
    <w:uiPriority w:val="0"/>
    <w:rPr>
      <w:rFonts w:hint="default" w:ascii="Times New Roman" w:hAnsi="Times New Roman" w:cs="Times New Roman"/>
      <w:color w:val="000000"/>
      <w:sz w:val="20"/>
      <w:szCs w:val="20"/>
      <w:u w:val="none"/>
    </w:rPr>
  </w:style>
  <w:style w:type="character" w:customStyle="1" w:styleId="12">
    <w:name w:val="正文文本缩进 Char"/>
    <w:basedOn w:val="8"/>
    <w:link w:val="2"/>
    <w:autoRedefine/>
    <w:qFormat/>
    <w:uiPriority w:val="0"/>
    <w:rPr>
      <w:rFonts w:ascii="Times New Roman" w:hAnsi="Times New Roman" w:eastAsia="仿宋_GB2312" w:cs="Times New Roman"/>
      <w:b/>
      <w:bCs/>
      <w:sz w:val="32"/>
      <w:szCs w:val="24"/>
    </w:rPr>
  </w:style>
  <w:style w:type="character" w:customStyle="1" w:styleId="13">
    <w:name w:val="批注框文本 Char"/>
    <w:basedOn w:val="8"/>
    <w:link w:val="4"/>
    <w:autoRedefine/>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8</Pages>
  <Words>4650</Words>
  <Characters>4859</Characters>
  <Lines>42</Lines>
  <Paragraphs>12</Paragraphs>
  <TotalTime>5</TotalTime>
  <ScaleCrop>false</ScaleCrop>
  <LinksUpToDate>false</LinksUpToDate>
  <CharactersWithSpaces>4890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2017-11-20T01:05:00Z</dcterms:created>
  <dc:creator>Sky123.Org</dc:creator>
  <cp:lastModifiedBy>WPS_1665536116</cp:lastModifiedBy>
  <cp:lastPrinted>2025-07-10T09:13:00Z</cp:lastPrinted>
  <dcterms:modified xsi:type="dcterms:W3CDTF">2025-08-20T06:42:19Z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C41C1A08E972450F9A134D24BCA5E2BF_13</vt:lpwstr>
  </property>
  <property fmtid="{D5CDD505-2E9C-101B-9397-08002B2CF9AE}" pid="4" name="KSOTemplateDocerSaveRecord">
    <vt:lpwstr>eyJoZGlkIjoiYWI2YzIwOTA2MDQyYmUyOGZkNDJhMzNiZDQ2ODljMTMiLCJ1c2VySWQiOiIxNDE4NjQyNzI2In0=</vt:lpwstr>
  </property>
</Properties>
</file>