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7252C">
      <w:pPr>
        <w:spacing w:line="540" w:lineRule="exact"/>
        <w:ind w:firstLine="1767" w:firstLineChars="400"/>
        <w:rPr>
          <w:rFonts w:hint="eastAsia" w:ascii="黑体" w:hAnsi="黑体" w:eastAsia="黑体" w:cs="黑体"/>
          <w:b/>
          <w:color w:val="333333"/>
          <w:kern w:val="0"/>
          <w:sz w:val="44"/>
          <w:szCs w:val="44"/>
        </w:rPr>
      </w:pPr>
      <w:r>
        <w:rPr>
          <w:rFonts w:hint="eastAsia" w:ascii="黑体" w:hAnsi="黑体" w:eastAsia="黑体" w:cs="黑体"/>
          <w:b/>
          <w:color w:val="333333"/>
          <w:kern w:val="0"/>
          <w:sz w:val="44"/>
          <w:szCs w:val="44"/>
        </w:rPr>
        <w:t>大冶市202</w:t>
      </w:r>
      <w:r>
        <w:rPr>
          <w:rFonts w:hint="eastAsia" w:ascii="黑体" w:hAnsi="黑体" w:eastAsia="黑体" w:cs="黑体"/>
          <w:b/>
          <w:color w:val="333333"/>
          <w:kern w:val="0"/>
          <w:sz w:val="44"/>
          <w:szCs w:val="44"/>
          <w:lang w:val="en-US" w:eastAsia="zh-CN"/>
        </w:rPr>
        <w:t>5</w:t>
      </w:r>
      <w:r>
        <w:rPr>
          <w:rFonts w:hint="eastAsia" w:ascii="黑体" w:hAnsi="黑体" w:eastAsia="黑体" w:cs="黑体"/>
          <w:b/>
          <w:color w:val="333333"/>
          <w:kern w:val="0"/>
          <w:sz w:val="44"/>
          <w:szCs w:val="44"/>
        </w:rPr>
        <w:t>年第</w:t>
      </w:r>
      <w:r>
        <w:rPr>
          <w:rFonts w:hint="eastAsia" w:ascii="黑体" w:hAnsi="黑体" w:eastAsia="黑体" w:cs="黑体"/>
          <w:b/>
          <w:color w:val="333333"/>
          <w:kern w:val="0"/>
          <w:sz w:val="44"/>
          <w:szCs w:val="44"/>
          <w:lang w:val="en-US" w:eastAsia="zh-CN"/>
        </w:rPr>
        <w:t>15</w:t>
      </w:r>
      <w:r>
        <w:rPr>
          <w:rFonts w:hint="eastAsia" w:ascii="黑体" w:hAnsi="黑体" w:eastAsia="黑体" w:cs="黑体"/>
          <w:b/>
          <w:color w:val="333333"/>
          <w:kern w:val="0"/>
          <w:sz w:val="44"/>
          <w:szCs w:val="44"/>
        </w:rPr>
        <w:t>期国有</w:t>
      </w:r>
    </w:p>
    <w:p w14:paraId="268904A6">
      <w:pPr>
        <w:spacing w:line="540" w:lineRule="exact"/>
        <w:ind w:firstLine="883" w:firstLineChars="200"/>
        <w:rPr>
          <w:rFonts w:hint="eastAsia" w:ascii="黑体" w:hAnsi="黑体" w:eastAsia="黑体" w:cs="黑体"/>
          <w:b/>
          <w:color w:val="333333"/>
          <w:kern w:val="0"/>
          <w:sz w:val="36"/>
          <w:szCs w:val="36"/>
        </w:rPr>
      </w:pPr>
      <w:r>
        <w:rPr>
          <w:rFonts w:hint="eastAsia" w:ascii="黑体" w:hAnsi="黑体" w:eastAsia="黑体" w:cs="黑体"/>
          <w:b/>
          <w:color w:val="333333"/>
          <w:kern w:val="0"/>
          <w:sz w:val="44"/>
          <w:szCs w:val="44"/>
        </w:rPr>
        <w:t>建设用地使用权网上挂牌出让须知</w:t>
      </w:r>
    </w:p>
    <w:p w14:paraId="17631D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根据《中华人民共和国土地管理法》、《中华人民共和国城市房地产管理法》、《中华人民共和国城镇国有土地使用权出让和转让暂行条例》、《招标拍卖挂牌出让国有建设用地使用权规定》及《招标拍卖挂牌出让国有土地使用权规范》等有关规定，经大冶市人民政府批准，大冶市公共资源交易中心根据大冶市自然资源和规划局</w:t>
      </w:r>
      <w:r>
        <w:rPr>
          <w:rFonts w:hint="eastAsia" w:eastAsia="仿宋_GB2312"/>
          <w:sz w:val="32"/>
          <w:lang w:val="en-US" w:eastAsia="zh-CN"/>
        </w:rPr>
        <w:t>来</w:t>
      </w:r>
      <w:r>
        <w:rPr>
          <w:rFonts w:hint="eastAsia" w:eastAsia="仿宋_GB2312"/>
          <w:sz w:val="32"/>
        </w:rPr>
        <w:t>函，决定以网上挂牌方式出让</w:t>
      </w:r>
      <w:r>
        <w:rPr>
          <w:rFonts w:hint="eastAsia" w:ascii="仿宋" w:hAnsi="仿宋" w:eastAsia="仿宋" w:cs="宋体"/>
          <w:color w:val="333333"/>
          <w:kern w:val="0"/>
          <w:sz w:val="32"/>
          <w:szCs w:val="32"/>
        </w:rPr>
        <w:t>G</w:t>
      </w:r>
      <w:r>
        <w:rPr>
          <w:rFonts w:hint="eastAsia" w:ascii="仿宋" w:hAnsi="仿宋" w:eastAsia="仿宋" w:cs="宋体"/>
          <w:color w:val="333333"/>
          <w:kern w:val="0"/>
          <w:sz w:val="32"/>
          <w:szCs w:val="32"/>
          <w:lang w:val="en-US" w:eastAsia="zh-CN"/>
        </w:rPr>
        <w:t>25108号地块</w:t>
      </w:r>
      <w:r>
        <w:rPr>
          <w:rFonts w:hint="eastAsia" w:eastAsia="仿宋_GB2312"/>
          <w:sz w:val="32"/>
        </w:rPr>
        <w:t>国有建设用地使用权。</w:t>
      </w:r>
    </w:p>
    <w:p w14:paraId="1F02D52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一、本次国有建设用地使用权挂牌出让的出让人为大冶市自然资源和规划局，具体组织实施由大冶市公共资源交易中心承办。</w:t>
      </w:r>
    </w:p>
    <w:p w14:paraId="730CFF2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二、本次国有建设用地使用权挂牌出让遵循公开、公平、公正和诚实信用原则。</w:t>
      </w:r>
    </w:p>
    <w:p w14:paraId="760A1D19">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出让地块的基本情况及规划指标要求等：</w:t>
      </w:r>
    </w:p>
    <w:tbl>
      <w:tblPr>
        <w:tblStyle w:val="7"/>
        <w:tblW w:w="9731" w:type="dxa"/>
        <w:jc w:val="center"/>
        <w:tblLayout w:type="fixed"/>
        <w:tblCellMar>
          <w:top w:w="0" w:type="dxa"/>
          <w:left w:w="0" w:type="dxa"/>
          <w:bottom w:w="0" w:type="dxa"/>
          <w:right w:w="0" w:type="dxa"/>
        </w:tblCellMar>
      </w:tblPr>
      <w:tblGrid>
        <w:gridCol w:w="771"/>
        <w:gridCol w:w="1686"/>
        <w:gridCol w:w="885"/>
        <w:gridCol w:w="929"/>
        <w:gridCol w:w="795"/>
        <w:gridCol w:w="793"/>
        <w:gridCol w:w="641"/>
        <w:gridCol w:w="670"/>
        <w:gridCol w:w="1059"/>
        <w:gridCol w:w="730"/>
        <w:gridCol w:w="772"/>
      </w:tblGrid>
      <w:tr w14:paraId="0C40097F">
        <w:tblPrEx>
          <w:tblCellMar>
            <w:top w:w="0" w:type="dxa"/>
            <w:left w:w="0" w:type="dxa"/>
            <w:bottom w:w="0" w:type="dxa"/>
            <w:right w:w="0" w:type="dxa"/>
          </w:tblCellMar>
        </w:tblPrEx>
        <w:trPr>
          <w:cantSplit/>
          <w:trHeight w:val="281" w:hRule="atLeast"/>
          <w:jc w:val="center"/>
        </w:trPr>
        <w:tc>
          <w:tcPr>
            <w:tcW w:w="7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DB8641">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地块</w:t>
            </w:r>
          </w:p>
          <w:p w14:paraId="22F01479">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编号</w:t>
            </w:r>
          </w:p>
        </w:tc>
        <w:tc>
          <w:tcPr>
            <w:tcW w:w="168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00FE1B">
            <w:pPr>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土地坐落</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1F04744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总面积</w:t>
            </w:r>
          </w:p>
          <w:p w14:paraId="61E6E3B2">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p>
        </w:tc>
        <w:tc>
          <w:tcPr>
            <w:tcW w:w="929" w:type="dxa"/>
            <w:vMerge w:val="restart"/>
            <w:tcBorders>
              <w:top w:val="single" w:color="auto" w:sz="4" w:space="0"/>
              <w:left w:val="single" w:color="auto" w:sz="4" w:space="0"/>
              <w:bottom w:val="single" w:color="auto" w:sz="4" w:space="0"/>
              <w:right w:val="single" w:color="auto" w:sz="4" w:space="0"/>
            </w:tcBorders>
            <w:vAlign w:val="center"/>
          </w:tcPr>
          <w:p w14:paraId="7768280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出让面积(㎡)</w:t>
            </w:r>
          </w:p>
        </w:tc>
        <w:tc>
          <w:tcPr>
            <w:tcW w:w="79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CDC3C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土地</w:t>
            </w:r>
          </w:p>
          <w:p w14:paraId="2F6FD62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用途</w:t>
            </w:r>
          </w:p>
        </w:tc>
        <w:tc>
          <w:tcPr>
            <w:tcW w:w="210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63C39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规划指标要求</w:t>
            </w:r>
          </w:p>
        </w:tc>
        <w:tc>
          <w:tcPr>
            <w:tcW w:w="105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C7412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w:t>
            </w:r>
          </w:p>
          <w:p w14:paraId="2919C37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年限</w:t>
            </w:r>
          </w:p>
        </w:tc>
        <w:tc>
          <w:tcPr>
            <w:tcW w:w="730" w:type="dxa"/>
            <w:vMerge w:val="restart"/>
            <w:tcBorders>
              <w:top w:val="single" w:color="auto" w:sz="4" w:space="0"/>
              <w:left w:val="single" w:color="auto" w:sz="4" w:space="0"/>
              <w:bottom w:val="single" w:color="auto" w:sz="4" w:space="0"/>
              <w:right w:val="single" w:color="auto" w:sz="4" w:space="0"/>
            </w:tcBorders>
            <w:vAlign w:val="center"/>
          </w:tcPr>
          <w:p w14:paraId="523A8EB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竞买</w:t>
            </w:r>
          </w:p>
          <w:p w14:paraId="46B03E1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保证金</w:t>
            </w:r>
          </w:p>
          <w:p w14:paraId="7EAD357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c>
          <w:tcPr>
            <w:tcW w:w="772"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99E1C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挂牌</w:t>
            </w:r>
          </w:p>
          <w:p w14:paraId="0EB1B2F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起始价</w:t>
            </w:r>
          </w:p>
          <w:p w14:paraId="3EFD0798">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r>
      <w:tr w14:paraId="28AD4EDC">
        <w:tblPrEx>
          <w:tblCellMar>
            <w:top w:w="0" w:type="dxa"/>
            <w:left w:w="0" w:type="dxa"/>
            <w:bottom w:w="0" w:type="dxa"/>
            <w:right w:w="0" w:type="dxa"/>
          </w:tblCellMar>
        </w:tblPrEx>
        <w:trPr>
          <w:cantSplit/>
          <w:trHeight w:val="403"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7AC90575">
            <w:pPr>
              <w:widowControl/>
              <w:spacing w:line="220" w:lineRule="exact"/>
              <w:jc w:val="center"/>
              <w:rPr>
                <w:rFonts w:hint="eastAsia" w:ascii="仿宋" w:hAnsi="仿宋" w:eastAsia="仿宋" w:cs="仿宋"/>
                <w:color w:val="auto"/>
                <w:sz w:val="18"/>
                <w:szCs w:val="18"/>
              </w:rPr>
            </w:pPr>
          </w:p>
        </w:tc>
        <w:tc>
          <w:tcPr>
            <w:tcW w:w="1686" w:type="dxa"/>
            <w:vMerge w:val="continue"/>
            <w:tcBorders>
              <w:top w:val="single" w:color="auto" w:sz="4" w:space="0"/>
              <w:left w:val="single" w:color="auto" w:sz="4" w:space="0"/>
              <w:bottom w:val="single" w:color="auto" w:sz="4" w:space="0"/>
              <w:right w:val="single" w:color="auto" w:sz="4" w:space="0"/>
            </w:tcBorders>
            <w:vAlign w:val="center"/>
          </w:tcPr>
          <w:p w14:paraId="2263AB20">
            <w:pPr>
              <w:widowControl/>
              <w:spacing w:line="220" w:lineRule="exact"/>
              <w:jc w:val="center"/>
              <w:rPr>
                <w:rFonts w:hint="eastAsia" w:ascii="仿宋" w:hAnsi="仿宋" w:eastAsia="仿宋" w:cs="仿宋"/>
                <w:color w:val="auto"/>
                <w:kern w:val="0"/>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24CAE34A">
            <w:pPr>
              <w:widowControl/>
              <w:spacing w:line="220" w:lineRule="exact"/>
              <w:jc w:val="center"/>
              <w:rPr>
                <w:rFonts w:hint="eastAsia" w:ascii="仿宋" w:hAnsi="仿宋" w:eastAsia="仿宋" w:cs="仿宋"/>
                <w:color w:val="auto"/>
                <w:sz w:val="18"/>
                <w:szCs w:val="18"/>
              </w:rPr>
            </w:pPr>
          </w:p>
        </w:tc>
        <w:tc>
          <w:tcPr>
            <w:tcW w:w="929" w:type="dxa"/>
            <w:vMerge w:val="continue"/>
            <w:tcBorders>
              <w:top w:val="single" w:color="auto" w:sz="4" w:space="0"/>
              <w:left w:val="single" w:color="auto" w:sz="4" w:space="0"/>
              <w:bottom w:val="single" w:color="auto" w:sz="4" w:space="0"/>
              <w:right w:val="single" w:color="auto" w:sz="4" w:space="0"/>
            </w:tcBorders>
            <w:vAlign w:val="center"/>
          </w:tcPr>
          <w:p w14:paraId="7887913A">
            <w:pPr>
              <w:widowControl/>
              <w:spacing w:line="220" w:lineRule="exact"/>
              <w:jc w:val="center"/>
              <w:rPr>
                <w:rFonts w:hint="eastAsia" w:ascii="仿宋" w:hAnsi="仿宋" w:eastAsia="仿宋" w:cs="仿宋"/>
                <w:color w:val="auto"/>
                <w:sz w:val="18"/>
                <w:szCs w:val="18"/>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14:paraId="30D4B0A8">
            <w:pPr>
              <w:widowControl/>
              <w:spacing w:line="220" w:lineRule="exact"/>
              <w:jc w:val="center"/>
              <w:rPr>
                <w:rFonts w:hint="eastAsia" w:ascii="仿宋" w:hAnsi="仿宋" w:eastAsia="仿宋" w:cs="仿宋"/>
                <w:color w:val="auto"/>
                <w:sz w:val="18"/>
                <w:szCs w:val="18"/>
              </w:rPr>
            </w:pPr>
          </w:p>
        </w:tc>
        <w:tc>
          <w:tcPr>
            <w:tcW w:w="7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04340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容积率</w:t>
            </w:r>
          </w:p>
        </w:tc>
        <w:tc>
          <w:tcPr>
            <w:tcW w:w="6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17D031">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建筑</w:t>
            </w:r>
          </w:p>
          <w:p w14:paraId="6FAEDBB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密度(%)</w:t>
            </w:r>
          </w:p>
        </w:tc>
        <w:tc>
          <w:tcPr>
            <w:tcW w:w="6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3C0F47">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绿地率(%)</w:t>
            </w: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677ABC4">
            <w:pPr>
              <w:widowControl/>
              <w:spacing w:line="220" w:lineRule="exact"/>
              <w:jc w:val="center"/>
              <w:rPr>
                <w:rFonts w:hint="eastAsia" w:ascii="仿宋" w:hAnsi="仿宋" w:eastAsia="仿宋" w:cs="仿宋"/>
                <w:color w:val="auto"/>
                <w:sz w:val="18"/>
                <w:szCs w:val="18"/>
              </w:rPr>
            </w:pPr>
          </w:p>
        </w:tc>
        <w:tc>
          <w:tcPr>
            <w:tcW w:w="730" w:type="dxa"/>
            <w:vMerge w:val="continue"/>
            <w:tcBorders>
              <w:top w:val="single" w:color="auto" w:sz="4" w:space="0"/>
              <w:left w:val="single" w:color="auto" w:sz="4" w:space="0"/>
              <w:bottom w:val="single" w:color="auto" w:sz="4" w:space="0"/>
              <w:right w:val="single" w:color="auto" w:sz="4" w:space="0"/>
            </w:tcBorders>
            <w:vAlign w:val="center"/>
          </w:tcPr>
          <w:p w14:paraId="1B75EBC9">
            <w:pPr>
              <w:widowControl/>
              <w:spacing w:line="220" w:lineRule="exact"/>
              <w:jc w:val="center"/>
              <w:rPr>
                <w:rFonts w:hint="eastAsia" w:ascii="仿宋" w:hAnsi="仿宋" w:eastAsia="仿宋" w:cs="仿宋"/>
                <w:color w:val="auto"/>
                <w:sz w:val="18"/>
                <w:szCs w:val="18"/>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14:paraId="4D263501">
            <w:pPr>
              <w:widowControl/>
              <w:spacing w:line="220" w:lineRule="exact"/>
              <w:jc w:val="center"/>
              <w:rPr>
                <w:rFonts w:hint="eastAsia" w:ascii="仿宋" w:hAnsi="仿宋" w:eastAsia="仿宋" w:cs="仿宋"/>
                <w:color w:val="auto"/>
                <w:sz w:val="18"/>
                <w:szCs w:val="18"/>
              </w:rPr>
            </w:pPr>
          </w:p>
        </w:tc>
      </w:tr>
      <w:tr w14:paraId="778DCE8B">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0D726AAD">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G25108</w:t>
            </w:r>
          </w:p>
        </w:tc>
        <w:tc>
          <w:tcPr>
            <w:tcW w:w="1686" w:type="dxa"/>
            <w:tcBorders>
              <w:top w:val="single" w:color="auto" w:sz="4" w:space="0"/>
              <w:left w:val="single" w:color="auto" w:sz="4" w:space="0"/>
              <w:bottom w:val="single" w:color="auto" w:sz="4" w:space="0"/>
              <w:right w:val="single" w:color="auto" w:sz="4" w:space="0"/>
            </w:tcBorders>
            <w:vAlign w:val="center"/>
          </w:tcPr>
          <w:p w14:paraId="303C1FA5">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高铁大道西侧、罗家井路北侧、小鹏汽车4S店南侧地块</w:t>
            </w:r>
          </w:p>
        </w:tc>
        <w:tc>
          <w:tcPr>
            <w:tcW w:w="885" w:type="dxa"/>
            <w:tcBorders>
              <w:top w:val="single" w:color="auto" w:sz="4" w:space="0"/>
              <w:left w:val="single" w:color="auto" w:sz="4" w:space="0"/>
              <w:bottom w:val="single" w:color="auto" w:sz="4" w:space="0"/>
              <w:right w:val="single" w:color="auto" w:sz="4" w:space="0"/>
            </w:tcBorders>
            <w:vAlign w:val="center"/>
          </w:tcPr>
          <w:p w14:paraId="3A195880">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60263.47</w:t>
            </w:r>
          </w:p>
        </w:tc>
        <w:tc>
          <w:tcPr>
            <w:tcW w:w="929" w:type="dxa"/>
            <w:tcBorders>
              <w:top w:val="single" w:color="auto" w:sz="4" w:space="0"/>
              <w:left w:val="single" w:color="auto" w:sz="4" w:space="0"/>
              <w:bottom w:val="single" w:color="auto" w:sz="4" w:space="0"/>
              <w:right w:val="single" w:color="auto" w:sz="4" w:space="0"/>
            </w:tcBorders>
            <w:vAlign w:val="center"/>
          </w:tcPr>
          <w:p w14:paraId="266F14F1">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50131.36</w:t>
            </w:r>
          </w:p>
        </w:tc>
        <w:tc>
          <w:tcPr>
            <w:tcW w:w="795" w:type="dxa"/>
            <w:tcBorders>
              <w:top w:val="single" w:color="auto" w:sz="4" w:space="0"/>
              <w:left w:val="single" w:color="auto" w:sz="4" w:space="0"/>
              <w:bottom w:val="single" w:color="auto" w:sz="4" w:space="0"/>
              <w:right w:val="single" w:color="auto" w:sz="4" w:space="0"/>
            </w:tcBorders>
            <w:vAlign w:val="center"/>
          </w:tcPr>
          <w:p w14:paraId="0A21CC13">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二类城镇住宅用地</w:t>
            </w:r>
          </w:p>
        </w:tc>
        <w:tc>
          <w:tcPr>
            <w:tcW w:w="7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9736DA">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R≤1.8</w:t>
            </w:r>
          </w:p>
          <w:p w14:paraId="03C49C4C">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（商业比</w:t>
            </w:r>
          </w:p>
          <w:p w14:paraId="5404E15C">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不超过10%）</w:t>
            </w:r>
          </w:p>
        </w:tc>
        <w:tc>
          <w:tcPr>
            <w:tcW w:w="6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A0CF8A">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≤40</w:t>
            </w:r>
          </w:p>
        </w:tc>
        <w:tc>
          <w:tcPr>
            <w:tcW w:w="6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ED2EEC">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≥30</w:t>
            </w:r>
          </w:p>
        </w:tc>
        <w:tc>
          <w:tcPr>
            <w:tcW w:w="1059" w:type="dxa"/>
            <w:tcBorders>
              <w:top w:val="single" w:color="auto" w:sz="4" w:space="0"/>
              <w:left w:val="single" w:color="auto" w:sz="4" w:space="0"/>
              <w:bottom w:val="single" w:color="auto" w:sz="4" w:space="0"/>
              <w:right w:val="single" w:color="auto" w:sz="4" w:space="0"/>
            </w:tcBorders>
            <w:vAlign w:val="center"/>
          </w:tcPr>
          <w:p w14:paraId="40AC9982">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住宅70年</w:t>
            </w:r>
          </w:p>
          <w:p w14:paraId="633D8C0E">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商服40年</w:t>
            </w:r>
          </w:p>
        </w:tc>
        <w:tc>
          <w:tcPr>
            <w:tcW w:w="730" w:type="dxa"/>
            <w:tcBorders>
              <w:top w:val="single" w:color="auto" w:sz="4" w:space="0"/>
              <w:left w:val="single" w:color="auto" w:sz="4" w:space="0"/>
              <w:bottom w:val="single" w:color="auto" w:sz="4" w:space="0"/>
              <w:right w:val="single" w:color="auto" w:sz="4" w:space="0"/>
            </w:tcBorders>
            <w:vAlign w:val="center"/>
          </w:tcPr>
          <w:p w14:paraId="05351817">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2710</w:t>
            </w:r>
          </w:p>
        </w:tc>
        <w:tc>
          <w:tcPr>
            <w:tcW w:w="772" w:type="dxa"/>
            <w:tcBorders>
              <w:top w:val="single" w:color="auto" w:sz="4" w:space="0"/>
              <w:left w:val="single" w:color="auto" w:sz="4" w:space="0"/>
              <w:bottom w:val="single" w:color="auto" w:sz="4" w:space="0"/>
              <w:right w:val="single" w:color="auto" w:sz="4" w:space="0"/>
            </w:tcBorders>
            <w:vAlign w:val="center"/>
          </w:tcPr>
          <w:p w14:paraId="5801D828">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13550</w:t>
            </w:r>
          </w:p>
        </w:tc>
      </w:tr>
      <w:tr w14:paraId="703C680D">
        <w:tblPrEx>
          <w:tblCellMar>
            <w:top w:w="0" w:type="dxa"/>
            <w:left w:w="0" w:type="dxa"/>
            <w:bottom w:w="0" w:type="dxa"/>
            <w:right w:w="0" w:type="dxa"/>
          </w:tblCellMar>
        </w:tblPrEx>
        <w:trPr>
          <w:cantSplit/>
          <w:trHeight w:val="555" w:hRule="atLeast"/>
          <w:jc w:val="center"/>
        </w:trPr>
        <w:tc>
          <w:tcPr>
            <w:tcW w:w="9731" w:type="dxa"/>
            <w:gridSpan w:val="11"/>
            <w:tcBorders>
              <w:top w:val="single" w:color="auto" w:sz="4" w:space="0"/>
              <w:left w:val="single" w:color="auto" w:sz="4" w:space="0"/>
              <w:bottom w:val="single" w:color="auto" w:sz="4" w:space="0"/>
              <w:right w:val="single" w:color="auto" w:sz="4" w:space="0"/>
            </w:tcBorders>
            <w:vAlign w:val="center"/>
          </w:tcPr>
          <w:p w14:paraId="325D35D6">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规划计容建筑面积：</w:t>
            </w:r>
            <w:r>
              <w:rPr>
                <w:rFonts w:hint="eastAsia" w:ascii="仿宋" w:hAnsi="仿宋" w:eastAsia="仿宋" w:cs="仿宋"/>
                <w:color w:val="auto"/>
                <w:sz w:val="18"/>
                <w:szCs w:val="18"/>
                <w:highlight w:val="none"/>
                <w:lang w:val="en-US" w:eastAsia="zh-CN"/>
              </w:rPr>
              <w:t>G25108≤90236㎡</w:t>
            </w:r>
            <w:r>
              <w:rPr>
                <w:rFonts w:hint="eastAsia" w:ascii="仿宋" w:hAnsi="仿宋" w:eastAsia="仿宋" w:cs="仿宋"/>
                <w:color w:val="auto"/>
                <w:sz w:val="18"/>
                <w:szCs w:val="18"/>
                <w:highlight w:val="none"/>
                <w:lang w:eastAsia="zh-CN"/>
              </w:rPr>
              <w:t>。</w:t>
            </w:r>
          </w:p>
        </w:tc>
      </w:tr>
    </w:tbl>
    <w:p w14:paraId="408A7088">
      <w:pPr>
        <w:spacing w:line="540" w:lineRule="exact"/>
        <w:ind w:firstLine="640" w:firstLineChars="200"/>
        <w:rPr>
          <w:rFonts w:hint="eastAsia" w:ascii="仿宋" w:hAnsi="仿宋" w:eastAsia="仿宋"/>
          <w:color w:val="auto"/>
          <w:sz w:val="32"/>
          <w:highlight w:val="none"/>
        </w:rPr>
      </w:pPr>
      <w:r>
        <w:rPr>
          <w:rFonts w:hint="eastAsia" w:ascii="仿宋" w:hAnsi="仿宋" w:eastAsia="仿宋"/>
          <w:color w:val="auto"/>
          <w:sz w:val="32"/>
        </w:rPr>
        <w:t>四、</w:t>
      </w:r>
      <w:r>
        <w:rPr>
          <w:rFonts w:hint="eastAsia" w:ascii="仿宋" w:hAnsi="仿宋" w:eastAsia="仿宋"/>
          <w:color w:val="auto"/>
          <w:sz w:val="32"/>
          <w:highlight w:val="none"/>
        </w:rPr>
        <w:t>特别约定</w:t>
      </w:r>
    </w:p>
    <w:p w14:paraId="3E882A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Times New Roman"/>
          <w:b w:val="0"/>
          <w:bCs w:val="0"/>
          <w:color w:val="auto"/>
          <w:kern w:val="2"/>
          <w:sz w:val="32"/>
          <w:szCs w:val="32"/>
          <w:lang w:val="en-US" w:eastAsia="zh-CN" w:bidi="ar-SA"/>
        </w:rPr>
        <w:t>）</w:t>
      </w:r>
      <w:r>
        <w:rPr>
          <w:rFonts w:hint="eastAsia" w:ascii="仿宋" w:hAnsi="仿宋" w:eastAsia="仿宋"/>
          <w:color w:val="auto"/>
          <w:sz w:val="32"/>
          <w:szCs w:val="32"/>
        </w:rPr>
        <w:t>土地开发程度：</w:t>
      </w:r>
      <w:r>
        <w:rPr>
          <w:rFonts w:hint="eastAsia" w:ascii="仿宋" w:hAnsi="仿宋" w:eastAsia="仿宋"/>
          <w:color w:val="auto"/>
          <w:sz w:val="32"/>
          <w:szCs w:val="32"/>
          <w:lang w:val="en-US" w:eastAsia="zh-CN"/>
        </w:rPr>
        <w:t>上述</w:t>
      </w:r>
      <w:r>
        <w:rPr>
          <w:rFonts w:hint="eastAsia" w:ascii="仿宋" w:hAnsi="仿宋" w:eastAsia="仿宋"/>
          <w:color w:val="auto"/>
          <w:sz w:val="32"/>
          <w:szCs w:val="32"/>
        </w:rPr>
        <w:t>宗地外</w:t>
      </w:r>
      <w:r>
        <w:rPr>
          <w:rFonts w:hint="eastAsia" w:ascii="仿宋" w:hAnsi="仿宋" w:eastAsia="仿宋"/>
          <w:color w:val="auto"/>
          <w:sz w:val="32"/>
          <w:szCs w:val="32"/>
          <w:lang w:val="en-US" w:eastAsia="zh-CN"/>
        </w:rPr>
        <w:t>五</w:t>
      </w:r>
      <w:r>
        <w:rPr>
          <w:rFonts w:hint="eastAsia" w:ascii="仿宋" w:hAnsi="仿宋" w:eastAsia="仿宋"/>
          <w:color w:val="auto"/>
          <w:sz w:val="32"/>
          <w:szCs w:val="32"/>
        </w:rPr>
        <w:t>通，即通</w:t>
      </w:r>
      <w:r>
        <w:rPr>
          <w:rFonts w:hint="eastAsia" w:ascii="仿宋" w:hAnsi="仿宋" w:eastAsia="仿宋"/>
          <w:color w:val="auto"/>
          <w:sz w:val="32"/>
          <w:szCs w:val="32"/>
          <w:lang w:val="en-US" w:eastAsia="zh-CN"/>
        </w:rPr>
        <w:t>路</w:t>
      </w:r>
      <w:r>
        <w:rPr>
          <w:rFonts w:hint="eastAsia" w:ascii="仿宋" w:hAnsi="仿宋" w:eastAsia="仿宋"/>
          <w:color w:val="auto"/>
          <w:sz w:val="32"/>
          <w:szCs w:val="32"/>
        </w:rPr>
        <w:t>、通电、</w:t>
      </w:r>
      <w:r>
        <w:rPr>
          <w:rFonts w:hint="eastAsia" w:ascii="仿宋" w:hAnsi="仿宋" w:eastAsia="仿宋"/>
          <w:color w:val="auto"/>
          <w:sz w:val="32"/>
          <w:szCs w:val="32"/>
          <w:lang w:val="en-US" w:eastAsia="zh-CN"/>
        </w:rPr>
        <w:t>通讯、</w:t>
      </w:r>
      <w:r>
        <w:rPr>
          <w:rFonts w:hint="eastAsia" w:ascii="仿宋" w:hAnsi="仿宋" w:eastAsia="仿宋"/>
          <w:color w:val="auto"/>
          <w:sz w:val="32"/>
          <w:szCs w:val="32"/>
        </w:rPr>
        <w:t>通上水</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通下水</w:t>
      </w:r>
      <w:r>
        <w:rPr>
          <w:rFonts w:hint="eastAsia" w:ascii="仿宋" w:hAnsi="仿宋" w:eastAsia="仿宋"/>
          <w:color w:val="auto"/>
          <w:sz w:val="32"/>
          <w:szCs w:val="32"/>
        </w:rPr>
        <w:t>，宗地内场地现状交付</w:t>
      </w:r>
      <w:r>
        <w:rPr>
          <w:rFonts w:hint="eastAsia" w:ascii="仿宋" w:hAnsi="仿宋" w:eastAsia="仿宋"/>
          <w:color w:val="auto"/>
          <w:sz w:val="32"/>
          <w:szCs w:val="32"/>
          <w:lang w:eastAsia="zh-CN"/>
        </w:rPr>
        <w:t>。</w:t>
      </w:r>
    </w:p>
    <w:p w14:paraId="11069F4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Times New Roman"/>
          <w:b w:val="0"/>
          <w:bCs w:val="0"/>
          <w:color w:val="auto"/>
          <w:kern w:val="2"/>
          <w:sz w:val="32"/>
          <w:szCs w:val="32"/>
          <w:lang w:val="en-US" w:eastAsia="zh-CN" w:bidi="ar-SA"/>
        </w:rPr>
        <w:t>）</w:t>
      </w:r>
      <w:r>
        <w:rPr>
          <w:rFonts w:hint="eastAsia" w:ascii="仿宋" w:hAnsi="仿宋" w:eastAsia="仿宋"/>
          <w:color w:val="auto"/>
          <w:sz w:val="32"/>
          <w:szCs w:val="32"/>
        </w:rPr>
        <w:t>竞得人须无偿配建</w:t>
      </w:r>
      <w:r>
        <w:rPr>
          <w:rFonts w:hint="eastAsia" w:ascii="仿宋" w:hAnsi="仿宋" w:eastAsia="仿宋"/>
          <w:color w:val="auto"/>
          <w:sz w:val="32"/>
          <w:szCs w:val="32"/>
          <w:lang w:val="en-US" w:eastAsia="zh-CN"/>
        </w:rPr>
        <w:t>上述</w:t>
      </w:r>
      <w:r>
        <w:rPr>
          <w:rFonts w:hint="eastAsia" w:ascii="仿宋" w:hAnsi="仿宋" w:eastAsia="仿宋"/>
          <w:color w:val="auto"/>
          <w:sz w:val="32"/>
          <w:szCs w:val="32"/>
        </w:rPr>
        <w:t>宗地西侧岳家咀路北段市政道路（罗家井路至大棋路段，约410米），道路工程包括地下管网、路基路面、绿化（不含路灯亮化），与开发的住宅项目同步规划设计、同步施工建设、同步验收使用，建成验收合格后移交政府有关部门。</w:t>
      </w:r>
    </w:p>
    <w:p w14:paraId="3222D8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Times New Roman"/>
          <w:b w:val="0"/>
          <w:bCs w:val="0"/>
          <w:color w:val="auto"/>
          <w:kern w:val="2"/>
          <w:sz w:val="32"/>
          <w:szCs w:val="32"/>
          <w:lang w:val="en-US" w:eastAsia="zh-CN" w:bidi="ar-SA"/>
        </w:rPr>
        <w:t>）</w:t>
      </w:r>
      <w:r>
        <w:rPr>
          <w:rFonts w:hint="eastAsia" w:ascii="仿宋" w:hAnsi="仿宋" w:eastAsia="仿宋"/>
          <w:color w:val="auto"/>
          <w:sz w:val="32"/>
          <w:szCs w:val="32"/>
          <w:lang w:val="en-US" w:eastAsia="zh-CN"/>
        </w:rPr>
        <w:t>上述</w:t>
      </w:r>
      <w:r>
        <w:rPr>
          <w:rFonts w:hint="eastAsia" w:ascii="仿宋" w:hAnsi="仿宋" w:eastAsia="仿宋"/>
          <w:color w:val="auto"/>
          <w:sz w:val="32"/>
          <w:szCs w:val="32"/>
        </w:rPr>
        <w:t>宗地规划设计方案已经202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年第4期资规委会审核通过，地块竞得人需按已经审核的规划设计方案开发建设，不按方案开发建设将进行纠正和依法处置</w:t>
      </w:r>
      <w:r>
        <w:rPr>
          <w:rFonts w:hint="eastAsia" w:ascii="仿宋" w:hAnsi="仿宋" w:eastAsia="仿宋"/>
          <w:color w:val="auto"/>
          <w:sz w:val="32"/>
          <w:szCs w:val="32"/>
          <w:lang w:eastAsia="zh-CN"/>
        </w:rPr>
        <w:t>。</w:t>
      </w:r>
      <w:r>
        <w:rPr>
          <w:rFonts w:hint="eastAsia" w:ascii="仿宋" w:hAnsi="仿宋" w:eastAsia="仿宋"/>
          <w:color w:val="auto"/>
          <w:sz w:val="32"/>
          <w:szCs w:val="32"/>
        </w:rPr>
        <w:t>如需调整规划设计方案，在不涉及规划变更的情况下按程序办理，其他相关要求在出让合同中进行约定，规划设计费用由竞得人承担。</w:t>
      </w:r>
      <w:r>
        <w:rPr>
          <w:rFonts w:hint="eastAsia" w:ascii="仿宋" w:hAnsi="仿宋" w:eastAsia="仿宋"/>
          <w:color w:val="auto"/>
          <w:sz w:val="32"/>
          <w:szCs w:val="32"/>
          <w:lang w:val="en-US" w:eastAsia="zh-CN"/>
        </w:rPr>
        <w:t>地块</w:t>
      </w:r>
      <w:r>
        <w:rPr>
          <w:rFonts w:hint="eastAsia" w:ascii="仿宋" w:hAnsi="仿宋" w:eastAsia="仿宋"/>
          <w:color w:val="auto"/>
          <w:sz w:val="32"/>
          <w:szCs w:val="32"/>
          <w:lang w:eastAsia="zh-CN"/>
        </w:rPr>
        <w:t>容积率不得≤1.0，不得用于建设别墅和私家庄园</w:t>
      </w:r>
    </w:p>
    <w:p w14:paraId="57B91FE6">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四）上述宗地挂牌出让成交后，竞得人应在成交之日起30日内与出让人签订《国有建设用地使用权出让合同》，按土地出让合同约定缴纳土地成交价款，并在签订出让合同后10个工作日内建立“建设项目信息公示牌”，公示牌具体规格及公示内容由大冶市自然资源和规划局另行告知。</w:t>
      </w:r>
    </w:p>
    <w:p w14:paraId="3CA5C4E8">
      <w:pPr>
        <w:pStyle w:val="2"/>
        <w:keepNext w:val="0"/>
        <w:keepLines w:val="0"/>
        <w:pageBreakBefore w:val="0"/>
        <w:widowControl w:val="0"/>
        <w:kinsoku/>
        <w:wordWrap/>
        <w:overflowPunct/>
        <w:topLinePunct w:val="0"/>
        <w:autoSpaceDE/>
        <w:autoSpaceDN/>
        <w:bidi w:val="0"/>
        <w:adjustRightInd/>
        <w:snapToGrid/>
        <w:ind w:firstLine="640"/>
        <w:textAlignment w:val="auto"/>
        <w:rPr>
          <w:rFonts w:hint="eastAsia"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五</w:t>
      </w:r>
      <w:r>
        <w:rPr>
          <w:rFonts w:hint="eastAsia" w:ascii="仿宋" w:hAnsi="仿宋" w:eastAsia="仿宋"/>
          <w:b w:val="0"/>
          <w:bCs w:val="0"/>
          <w:color w:val="auto"/>
          <w:kern w:val="2"/>
          <w:sz w:val="32"/>
          <w:szCs w:val="32"/>
        </w:rPr>
        <w:t>）上述宗地以现状挂牌出让，实际勘测交付面积与挂牌出让文件标明的出让面积差异率在</w:t>
      </w:r>
      <w:r>
        <w:rPr>
          <w:rFonts w:ascii="仿宋" w:hAnsi="仿宋" w:eastAsia="仿宋"/>
          <w:b w:val="0"/>
          <w:bCs w:val="0"/>
          <w:color w:val="auto"/>
          <w:kern w:val="2"/>
          <w:sz w:val="32"/>
          <w:szCs w:val="32"/>
        </w:rPr>
        <w:t>1%</w:t>
      </w:r>
      <w:r>
        <w:rPr>
          <w:rFonts w:hint="eastAsia" w:ascii="仿宋" w:hAnsi="仿宋" w:eastAsia="仿宋"/>
          <w:b w:val="0"/>
          <w:bCs w:val="0"/>
          <w:color w:val="auto"/>
          <w:kern w:val="2"/>
          <w:sz w:val="32"/>
          <w:szCs w:val="32"/>
        </w:rPr>
        <w:t>以内的，面积差异不影响成交价格。</w:t>
      </w:r>
    </w:p>
    <w:p w14:paraId="450B6026">
      <w:pPr>
        <w:pStyle w:val="2"/>
        <w:keepNext w:val="0"/>
        <w:keepLines w:val="0"/>
        <w:pageBreakBefore w:val="0"/>
        <w:widowControl w:val="0"/>
        <w:kinsoku/>
        <w:wordWrap/>
        <w:overflowPunct/>
        <w:topLinePunct w:val="0"/>
        <w:autoSpaceDE/>
        <w:autoSpaceDN/>
        <w:bidi w:val="0"/>
        <w:adjustRightInd/>
        <w:snapToGrid/>
        <w:ind w:firstLine="640"/>
        <w:textAlignment w:val="auto"/>
        <w:rPr>
          <w:rFonts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六</w:t>
      </w:r>
      <w:r>
        <w:rPr>
          <w:rFonts w:hint="eastAsia" w:ascii="仿宋" w:hAnsi="仿宋" w:eastAsia="仿宋"/>
          <w:b w:val="0"/>
          <w:bCs w:val="0"/>
          <w:color w:val="auto"/>
          <w:kern w:val="2"/>
          <w:sz w:val="32"/>
          <w:szCs w:val="32"/>
        </w:rPr>
        <w:t>）上述地块竞得人在宗地内依规划建设，连建地下建（构）筑物，使用地下建设用地使用权的，按照下列规定办理土地供应手续：</w:t>
      </w:r>
    </w:p>
    <w:p w14:paraId="51D45963">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1.</w:t>
      </w:r>
      <w:r>
        <w:rPr>
          <w:rFonts w:hint="eastAsia" w:ascii="仿宋" w:hAnsi="仿宋" w:eastAsia="仿宋"/>
          <w:b w:val="0"/>
          <w:bCs w:val="0"/>
          <w:color w:val="auto"/>
          <w:kern w:val="2"/>
          <w:sz w:val="32"/>
          <w:szCs w:val="32"/>
        </w:rPr>
        <w:t>符合划拨用地目录的，可以划拨方式办理土地供应手续；</w:t>
      </w:r>
    </w:p>
    <w:p w14:paraId="04FAE9DA">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2.</w:t>
      </w:r>
      <w:r>
        <w:rPr>
          <w:rFonts w:hint="eastAsia" w:ascii="仿宋" w:hAnsi="仿宋" w:eastAsia="仿宋"/>
          <w:b w:val="0"/>
          <w:bCs w:val="0"/>
          <w:color w:val="auto"/>
          <w:kern w:val="2"/>
          <w:sz w:val="32"/>
          <w:szCs w:val="32"/>
        </w:rPr>
        <w:t>不符合划拨用地目录的，经依法批准以协议方式办理出让手续，按照不低于出让时相同主导功能用途、土地级别、使用年限的地上建设用地市场价标准的</w:t>
      </w:r>
      <w:r>
        <w:rPr>
          <w:rFonts w:ascii="仿宋" w:hAnsi="仿宋" w:eastAsia="仿宋"/>
          <w:b w:val="0"/>
          <w:bCs w:val="0"/>
          <w:color w:val="auto"/>
          <w:kern w:val="2"/>
          <w:sz w:val="32"/>
          <w:szCs w:val="32"/>
        </w:rPr>
        <w:t>30%</w:t>
      </w:r>
      <w:r>
        <w:rPr>
          <w:rFonts w:hint="eastAsia" w:ascii="仿宋" w:hAnsi="仿宋" w:eastAsia="仿宋"/>
          <w:b w:val="0"/>
          <w:bCs w:val="0"/>
          <w:color w:val="auto"/>
          <w:kern w:val="2"/>
          <w:sz w:val="32"/>
          <w:szCs w:val="32"/>
        </w:rPr>
        <w:t>缴纳土地出让价款。</w:t>
      </w:r>
    </w:p>
    <w:p w14:paraId="70E027DA">
      <w:pPr>
        <w:pStyle w:val="2"/>
        <w:ind w:firstLine="640"/>
        <w:rPr>
          <w:rFonts w:ascii="仿宋" w:hAnsi="仿宋" w:eastAsia="仿宋"/>
          <w:b w:val="0"/>
          <w:bCs w:val="0"/>
          <w:color w:val="auto"/>
          <w:kern w:val="2"/>
          <w:sz w:val="32"/>
          <w:szCs w:val="32"/>
        </w:rPr>
      </w:pPr>
    </w:p>
    <w:p w14:paraId="72446FB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仿宋_GB2312"/>
          <w:sz w:val="32"/>
          <w:lang w:val="en-US" w:eastAsia="zh-CN"/>
        </w:rPr>
      </w:pPr>
      <w:r>
        <w:rPr>
          <w:rFonts w:hint="eastAsia" w:eastAsia="仿宋_GB2312"/>
          <w:sz w:val="32"/>
          <w:lang w:val="en-US" w:eastAsia="zh-CN"/>
        </w:rPr>
        <w:t>五、竞买资格及要求</w:t>
      </w:r>
    </w:p>
    <w:p w14:paraId="3092671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（一）中华人民共和国境内外的法人和其他组织均可申请参加，申请人可以单独申请，也可以联合申请，自然人不得申请参加土地竞买活动。</w:t>
      </w:r>
    </w:p>
    <w:p w14:paraId="5BC1234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1769605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（三）竞买申请人在参与网上挂牌交易活动期间须在“信用中国”网站（http://www.creditchina.gov.cn）无失信记录，若存在失信记录参加竞买活动的，其竞买申请为无效申请，竞买申请人自行承担相关法律后果。</w:t>
      </w:r>
    </w:p>
    <w:p w14:paraId="2715AE8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（四）本次国有建设用地使用权挂牌出让只能在互联网上通过大冶市招投标网站国有土地网上交易系统进行。只有办理数字证书、通过网上注册、足额交纳竞买保证金的申请人，才能参加网上挂牌出让活动。</w:t>
      </w:r>
    </w:p>
    <w:p w14:paraId="5B6C1A4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（五）只接受网上报名、网上竞买申请及报价。竞买人的网上竞买报价一经系统确认，不能修改或撤回。不接受电话、邮寄、书面、口头等其他方式的竞买申请和报价。</w:t>
      </w:r>
    </w:p>
    <w:p w14:paraId="76F995A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交纳竞买保证金的截止时间为2025年12月24日17时00分（收款单位：大冶市公共资源交易中心；开户行：湖北银行股份有限公司大冶支行；账号：详见业务系统中“申请成功信息”页面）竞买人必须全部接受网上挂牌出让条件和挂牌文件，并按规定交纳竞买保证金后，方可参与竞买。</w:t>
      </w:r>
    </w:p>
    <w:p w14:paraId="0D7EB2C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（七）竞买人保证金必须从单位账户汇出，在网上交易系统点击“申购”,通过交易系统在2025年12月24日17时00分前,一次性足额将竞买保证金汇入我中心指定的保证金账户。</w:t>
      </w:r>
    </w:p>
    <w:p w14:paraId="05140E1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六、竞买申请</w:t>
      </w:r>
    </w:p>
    <w:p w14:paraId="3D4B620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我中心将通过互联网站(网址：</w:t>
      </w:r>
      <w:r>
        <w:rPr>
          <w:rFonts w:hint="eastAsia" w:ascii="仿宋" w:hAnsi="仿宋" w:eastAsia="仿宋" w:cs="仿宋"/>
          <w:sz w:val="32"/>
          <w:szCs w:val="32"/>
        </w:rPr>
        <w:t>http://36.133.17.9:8081/ztb/</w:t>
      </w:r>
      <w:r>
        <w:rPr>
          <w:rFonts w:hint="eastAsia" w:eastAsia="仿宋_GB2312"/>
          <w:sz w:val="32"/>
          <w:lang w:val="en-US" w:eastAsia="zh-CN"/>
        </w:rPr>
        <w:t>)大冶市招投标网站发布网上挂牌出让相关文件。有意竞买者须登陆该系统，在网上浏览或下载本次挂牌出让文件，网上挂牌出让文件具体包括：</w:t>
      </w:r>
    </w:p>
    <w:p w14:paraId="1D59027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（一）《国有建设用地使用权网上挂牌出让公告》(以下简称《出让公告》)；</w:t>
      </w:r>
    </w:p>
    <w:p w14:paraId="4757A04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（二）《国有建设用地使用权网上挂牌出让规则》(以下简称《出让规则》)；</w:t>
      </w:r>
    </w:p>
    <w:p w14:paraId="4D5072D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（三）《国有建设用地使用权网上挂牌出让须知》(以下简称《出让须知》)；</w:t>
      </w:r>
    </w:p>
    <w:p w14:paraId="6C55141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竞买申请书；</w:t>
      </w:r>
    </w:p>
    <w:p w14:paraId="30CBC7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（五）</w:t>
      </w:r>
      <w:r>
        <w:rPr>
          <w:rFonts w:hint="eastAsia" w:eastAsia="仿宋_GB2312"/>
          <w:sz w:val="32"/>
          <w:lang w:val="en-US" w:eastAsia="zh-CN"/>
        </w:rPr>
        <w:t>挂牌出让宗地规划条件通知书；</w:t>
      </w:r>
    </w:p>
    <w:p w14:paraId="63CBD61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《国有建设用地网上挂牌出让成交确认书》(以下简称《成交确认书》)；</w:t>
      </w:r>
    </w:p>
    <w:p w14:paraId="38F19F1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七</w:t>
      </w:r>
      <w:r>
        <w:rPr>
          <w:rFonts w:hint="eastAsia" w:eastAsia="仿宋_GB2312"/>
          <w:sz w:val="32"/>
          <w:lang w:val="zh-CN" w:eastAsia="zh-CN"/>
        </w:rPr>
        <w:t>）</w:t>
      </w:r>
      <w:r>
        <w:rPr>
          <w:rFonts w:hint="eastAsia" w:eastAsia="仿宋_GB2312"/>
          <w:sz w:val="32"/>
          <w:lang w:val="en-US" w:eastAsia="zh-CN"/>
        </w:rPr>
        <w:t>宗地界址图；</w:t>
      </w:r>
    </w:p>
    <w:p w14:paraId="334DE5F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竞买申请及竞买保证金一经提交确认后，即视为竞买人对公开出让文件及地块现状无异议并全部接受，并对有关承诺承担法律责任。</w:t>
      </w:r>
    </w:p>
    <w:p w14:paraId="6382809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七、资格审查</w:t>
      </w:r>
    </w:p>
    <w:p w14:paraId="3F994C3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我中心通过网上挂牌出让交易系统自动确认竞买人资格。通过我中心网上挂牌出让交易系统提交竞买申请、竞买保证金，且通过交易系统资格审查的，方能取得竞买资格，网上将自动生成《竞买资格确认书》。</w:t>
      </w:r>
    </w:p>
    <w:p w14:paraId="08A7BBE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经审查，有下列情形之一的，为无效申请：</w:t>
      </w:r>
    </w:p>
    <w:p w14:paraId="12DB74D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（一）申请人不具备竞买资格的；</w:t>
      </w:r>
    </w:p>
    <w:p w14:paraId="2D0FECC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（二）未按规定交纳竞买保证金的；</w:t>
      </w:r>
    </w:p>
    <w:p w14:paraId="4BC23BE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（三）申请文件不齐全或不符合规定的；</w:t>
      </w:r>
    </w:p>
    <w:p w14:paraId="1682BEA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（四）法律法规规定的其他情形。</w:t>
      </w:r>
    </w:p>
    <w:p w14:paraId="2292E80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八、答疑及现场踏勘</w:t>
      </w:r>
    </w:p>
    <w:p w14:paraId="12E495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竞买人必须全面阅读有关网上挂牌出让文件，对挂牌文件及宗地现状有疑问的，可通过电话向大冶市公共资源交易中心咨询，大冶市公共资源交易中心及时就咨询事项给予答复 (咨询电话：0714--3188055)。也可向大冶市自然资源和规划局及大冶市公共资源交易中心申请组织现场踏勘。</w:t>
      </w:r>
    </w:p>
    <w:p w14:paraId="6627A49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九、本次挂牌出让活动有关时间</w:t>
      </w:r>
    </w:p>
    <w:p w14:paraId="066286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挂牌时间为10日，具体如下：</w:t>
      </w:r>
    </w:p>
    <w:p w14:paraId="0402055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1、挂牌起始时间：2025年12月16日上午10时；</w:t>
      </w:r>
    </w:p>
    <w:p w14:paraId="077457F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2、挂牌截止时间：2025年12</w:t>
      </w:r>
      <w:bookmarkStart w:id="0" w:name="_GoBack"/>
      <w:bookmarkEnd w:id="0"/>
      <w:r>
        <w:rPr>
          <w:rFonts w:hint="eastAsia" w:eastAsia="仿宋_GB2312"/>
          <w:sz w:val="32"/>
          <w:lang w:val="en-US" w:eastAsia="zh-CN"/>
        </w:rPr>
        <w:t>月26日上午10时。</w:t>
      </w:r>
    </w:p>
    <w:p w14:paraId="7684730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十、挂牌程序</w:t>
      </w:r>
    </w:p>
    <w:p w14:paraId="19274B1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（一）在中国土地市场网、黄石市公共资源交易中心网、大冶市招投标网站、《今日大冶》等网站和媒体发布网上挂牌出让公告、出让宗地相关信息；</w:t>
      </w:r>
    </w:p>
    <w:p w14:paraId="5477EAC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（二）在挂牌期内，有意竞买者通过注册申请并缴纳竞买保证金至指定账户后，取得竞买资格；</w:t>
      </w:r>
    </w:p>
    <w:p w14:paraId="3175E47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（三）竞买人在挂牌期内参与竞买，报价经系统确认无误后即显示为当前报价；</w:t>
      </w:r>
    </w:p>
    <w:p w14:paraId="422F45D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网上交易系统根据挂牌截止时的最高报价且不低于底价的自动确定竞得人，竞得人可以下载系统生成的《成交确认书》及相关文件。</w:t>
      </w:r>
    </w:p>
    <w:p w14:paraId="5DF6318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（五）出让结果公布</w:t>
      </w:r>
    </w:p>
    <w:p w14:paraId="366742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大冶市公共资源交易中心将在此次国有建设用地使用权挂牌出让活动结束后10个工作日内，在中国土地市场网、黄石市公共资源交易中心网、</w:t>
      </w:r>
      <w:r>
        <w:rPr>
          <w:rFonts w:hint="eastAsia" w:eastAsia="仿宋_GB2312"/>
          <w:sz w:val="32"/>
          <w:lang w:val="en-US" w:eastAsia="zh-CN"/>
        </w:rPr>
        <w:t>大冶市招投标网站等网站</w:t>
      </w:r>
      <w:r>
        <w:rPr>
          <w:rFonts w:hint="eastAsia" w:eastAsia="仿宋_GB2312"/>
          <w:sz w:val="32"/>
          <w:lang w:val="zh-CN" w:eastAsia="zh-CN"/>
        </w:rPr>
        <w:t>上公布本次国有建设用地使用权网上挂牌出让结果。</w:t>
      </w:r>
    </w:p>
    <w:p w14:paraId="30FFC47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本次网上挂牌出让交易的报价规则详见</w:t>
      </w:r>
      <w:r>
        <w:rPr>
          <w:rFonts w:hint="eastAsia" w:eastAsia="仿宋_GB2312"/>
          <w:sz w:val="32"/>
          <w:lang w:val="en-US" w:eastAsia="zh-CN"/>
        </w:rPr>
        <w:t>大冶市招投标网站</w:t>
      </w:r>
      <w:r>
        <w:rPr>
          <w:rFonts w:hint="eastAsia" w:eastAsia="仿宋_GB2312"/>
          <w:sz w:val="32"/>
          <w:lang w:val="zh-CN" w:eastAsia="zh-CN"/>
        </w:rPr>
        <w:t>栏目国有土地网上交易系统上发布的《交易规则》第四章、第五章。</w:t>
      </w:r>
    </w:p>
    <w:p w14:paraId="693825A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eastAsia="仿宋_GB2312"/>
          <w:sz w:val="32"/>
          <w:lang w:val="en-US" w:eastAsia="zh-CN"/>
        </w:rPr>
      </w:pPr>
      <w:r>
        <w:rPr>
          <w:rFonts w:hint="eastAsia" w:eastAsia="仿宋_GB2312"/>
          <w:sz w:val="32"/>
          <w:lang w:val="en-US" w:eastAsia="zh-CN"/>
        </w:rPr>
        <w:t>十一、宗地竞买保证金、起始价、增价幅度及报价</w:t>
      </w:r>
    </w:p>
    <w:p w14:paraId="2B7E6F11">
      <w:pPr>
        <w:spacing w:line="540" w:lineRule="exact"/>
        <w:ind w:firstLine="640" w:firstLineChars="200"/>
        <w:rPr>
          <w:rFonts w:hint="eastAsia" w:ascii="仿宋" w:hAnsi="仿宋" w:eastAsia="仿宋"/>
          <w:sz w:val="32"/>
          <w:szCs w:val="44"/>
          <w:lang w:val="en-US" w:eastAsia="zh-CN"/>
        </w:rPr>
      </w:pPr>
      <w:r>
        <w:rPr>
          <w:rFonts w:hint="eastAsia" w:eastAsia="仿宋_GB2312"/>
          <w:sz w:val="32"/>
          <w:lang w:val="en-US" w:eastAsia="zh-CN"/>
        </w:rPr>
        <w:t>（一）</w:t>
      </w:r>
      <w:r>
        <w:rPr>
          <w:rFonts w:hint="eastAsia" w:ascii="仿宋" w:hAnsi="仿宋" w:eastAsia="仿宋"/>
          <w:b w:val="0"/>
          <w:bCs w:val="0"/>
          <w:color w:val="auto"/>
          <w:kern w:val="2"/>
          <w:sz w:val="32"/>
          <w:szCs w:val="32"/>
        </w:rPr>
        <w:t>上述</w:t>
      </w:r>
      <w:r>
        <w:rPr>
          <w:rFonts w:hint="eastAsia" w:ascii="仿宋" w:hAnsi="仿宋" w:eastAsia="仿宋"/>
          <w:sz w:val="32"/>
        </w:rPr>
        <w:t>宗地的竞买保证金为：</w:t>
      </w:r>
    </w:p>
    <w:p w14:paraId="60AEFBFB">
      <w:pPr>
        <w:spacing w:line="540" w:lineRule="exact"/>
        <w:ind w:firstLine="640" w:firstLineChars="200"/>
        <w:rPr>
          <w:rFonts w:hint="eastAsia" w:ascii="仿宋" w:hAnsi="仿宋" w:eastAsia="仿宋"/>
          <w:sz w:val="32"/>
          <w:szCs w:val="44"/>
          <w:lang w:val="en-US" w:eastAsia="zh-CN"/>
        </w:rPr>
      </w:pPr>
      <w:r>
        <w:rPr>
          <w:rFonts w:hint="eastAsia" w:ascii="仿宋" w:hAnsi="仿宋" w:eastAsia="仿宋"/>
          <w:sz w:val="32"/>
          <w:szCs w:val="44"/>
        </w:rPr>
        <w:t>G25</w:t>
      </w:r>
      <w:r>
        <w:rPr>
          <w:rFonts w:hint="eastAsia" w:ascii="仿宋" w:hAnsi="仿宋" w:eastAsia="仿宋"/>
          <w:sz w:val="32"/>
          <w:szCs w:val="44"/>
          <w:lang w:val="en-US" w:eastAsia="zh-CN"/>
        </w:rPr>
        <w:t>108</w:t>
      </w:r>
      <w:r>
        <w:rPr>
          <w:rFonts w:hint="eastAsia" w:ascii="仿宋" w:hAnsi="仿宋" w:eastAsia="仿宋"/>
          <w:sz w:val="32"/>
          <w:szCs w:val="44"/>
        </w:rPr>
        <w:t>号地块人民币大写贰仟柒佰壹拾万元整</w:t>
      </w:r>
      <w:r>
        <w:rPr>
          <w:rFonts w:hint="eastAsia" w:ascii="仿宋" w:hAnsi="仿宋" w:eastAsia="仿宋"/>
          <w:sz w:val="32"/>
          <w:szCs w:val="44"/>
          <w:lang w:val="en-US" w:eastAsia="zh-CN"/>
        </w:rPr>
        <w:t>（</w:t>
      </w:r>
      <w:r>
        <w:rPr>
          <w:rFonts w:hint="eastAsia" w:ascii="仿宋" w:hAnsi="仿宋" w:eastAsia="仿宋"/>
          <w:sz w:val="32"/>
          <w:szCs w:val="44"/>
        </w:rPr>
        <w:t>￥</w:t>
      </w:r>
      <w:r>
        <w:rPr>
          <w:rFonts w:hint="eastAsia" w:ascii="仿宋" w:hAnsi="仿宋" w:eastAsia="仿宋"/>
          <w:sz w:val="32"/>
          <w:szCs w:val="44"/>
          <w:lang w:eastAsia="zh-CN"/>
        </w:rPr>
        <w:t>：</w:t>
      </w:r>
      <w:r>
        <w:rPr>
          <w:rFonts w:hint="eastAsia" w:ascii="仿宋" w:hAnsi="仿宋" w:eastAsia="仿宋"/>
          <w:sz w:val="32"/>
          <w:szCs w:val="44"/>
          <w:lang w:val="en-US" w:eastAsia="zh-CN"/>
        </w:rPr>
        <w:t>2710</w:t>
      </w:r>
      <w:r>
        <w:rPr>
          <w:rFonts w:ascii="仿宋" w:hAnsi="仿宋" w:eastAsia="仿宋"/>
          <w:sz w:val="32"/>
          <w:szCs w:val="44"/>
        </w:rPr>
        <w:t>0000.00</w:t>
      </w:r>
      <w:r>
        <w:rPr>
          <w:rFonts w:hint="eastAsia" w:ascii="仿宋" w:hAnsi="仿宋" w:eastAsia="仿宋"/>
          <w:sz w:val="32"/>
          <w:szCs w:val="44"/>
          <w:lang w:val="en-US" w:eastAsia="zh-CN"/>
        </w:rPr>
        <w:t>）。</w:t>
      </w:r>
    </w:p>
    <w:p w14:paraId="0426F031">
      <w:pPr>
        <w:numPr>
          <w:numId w:val="0"/>
        </w:numPr>
        <w:spacing w:line="540" w:lineRule="exact"/>
        <w:rPr>
          <w:rFonts w:ascii="仿宋" w:hAnsi="仿宋" w:eastAsia="仿宋"/>
          <w:sz w:val="32"/>
        </w:rPr>
      </w:pPr>
      <w:r>
        <w:rPr>
          <w:rFonts w:hint="eastAsia" w:eastAsia="仿宋_GB2312"/>
          <w:sz w:val="32"/>
          <w:lang w:val="en-US" w:eastAsia="zh-CN"/>
        </w:rPr>
        <w:t>（二）</w:t>
      </w:r>
      <w:r>
        <w:rPr>
          <w:rFonts w:hint="eastAsia" w:ascii="仿宋" w:hAnsi="仿宋" w:eastAsia="仿宋"/>
          <w:b w:val="0"/>
          <w:bCs w:val="0"/>
          <w:color w:val="auto"/>
          <w:kern w:val="2"/>
          <w:sz w:val="32"/>
          <w:szCs w:val="32"/>
        </w:rPr>
        <w:t>上述</w:t>
      </w:r>
      <w:r>
        <w:rPr>
          <w:rFonts w:hint="eastAsia" w:ascii="仿宋" w:hAnsi="仿宋" w:eastAsia="仿宋"/>
          <w:sz w:val="32"/>
        </w:rPr>
        <w:t>宗地的出让起始价、增价幅度</w:t>
      </w:r>
      <w:r>
        <w:rPr>
          <w:rFonts w:ascii="仿宋" w:hAnsi="仿宋" w:eastAsia="仿宋"/>
          <w:sz w:val="32"/>
        </w:rPr>
        <w:t xml:space="preserve"> </w:t>
      </w:r>
    </w:p>
    <w:p w14:paraId="35BCCA54">
      <w:pPr>
        <w:spacing w:line="540" w:lineRule="exact"/>
        <w:ind w:firstLine="640" w:firstLineChars="200"/>
        <w:rPr>
          <w:rFonts w:hint="eastAsia" w:ascii="仿宋" w:hAnsi="仿宋" w:eastAsia="仿宋"/>
          <w:sz w:val="32"/>
          <w:lang w:eastAsia="zh-CN"/>
        </w:rPr>
      </w:pPr>
      <w:r>
        <w:rPr>
          <w:rFonts w:hint="eastAsia" w:ascii="仿宋" w:hAnsi="仿宋" w:eastAsia="仿宋"/>
          <w:sz w:val="32"/>
          <w:szCs w:val="44"/>
          <w:lang w:val="en-US" w:eastAsia="zh-CN"/>
        </w:rPr>
        <w:t>G25108号地块</w:t>
      </w:r>
      <w:r>
        <w:rPr>
          <w:rFonts w:hint="eastAsia" w:ascii="仿宋" w:hAnsi="仿宋" w:eastAsia="仿宋"/>
          <w:sz w:val="32"/>
        </w:rPr>
        <w:t>出让起始价为人民币大写壹亿叁仟伍佰伍拾万元整（￥</w:t>
      </w:r>
      <w:r>
        <w:rPr>
          <w:rFonts w:hint="eastAsia" w:ascii="仿宋" w:hAnsi="仿宋" w:eastAsia="仿宋"/>
          <w:sz w:val="32"/>
          <w:lang w:val="en-US" w:eastAsia="zh-CN"/>
        </w:rPr>
        <w:t>135500</w:t>
      </w:r>
      <w:r>
        <w:rPr>
          <w:rFonts w:ascii="仿宋" w:hAnsi="仿宋" w:eastAsia="仿宋"/>
          <w:sz w:val="32"/>
        </w:rPr>
        <w:t>000.00</w:t>
      </w:r>
      <w:r>
        <w:rPr>
          <w:rFonts w:hint="eastAsia" w:ascii="仿宋" w:hAnsi="仿宋" w:eastAsia="仿宋"/>
          <w:sz w:val="32"/>
        </w:rPr>
        <w:t>），增价幅度为人民币大写壹拾万元或壹拾万元的整倍数</w:t>
      </w:r>
      <w:r>
        <w:rPr>
          <w:rFonts w:hint="eastAsia" w:ascii="仿宋" w:hAnsi="仿宋" w:eastAsia="仿宋"/>
          <w:sz w:val="32"/>
          <w:lang w:eastAsia="zh-CN"/>
        </w:rPr>
        <w:t>。</w:t>
      </w:r>
    </w:p>
    <w:p w14:paraId="5FEFEA64">
      <w:pPr>
        <w:spacing w:line="540" w:lineRule="exact"/>
        <w:ind w:firstLine="640" w:firstLineChars="200"/>
        <w:rPr>
          <w:rFonts w:hint="eastAsia" w:eastAsia="仿宋_GB2312"/>
          <w:sz w:val="32"/>
          <w:lang w:val="zh-CN" w:eastAsia="zh-CN"/>
        </w:rPr>
      </w:pPr>
      <w:r>
        <w:rPr>
          <w:rFonts w:hint="eastAsia" w:eastAsia="仿宋_GB2312"/>
          <w:sz w:val="32"/>
          <w:lang w:val="en-US" w:eastAsia="zh-CN"/>
        </w:rPr>
        <w:t>（三）</w:t>
      </w:r>
      <w:r>
        <w:rPr>
          <w:rFonts w:hint="eastAsia" w:eastAsia="仿宋_GB2312"/>
          <w:sz w:val="32"/>
          <w:lang w:val="zh-CN" w:eastAsia="zh-CN"/>
        </w:rPr>
        <w:t>在报价期间，竞买人可多次报价。</w:t>
      </w:r>
    </w:p>
    <w:p w14:paraId="4028826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（四）竞买人通过系统提交的报价一经报出，不得撤回。</w:t>
      </w:r>
    </w:p>
    <w:p w14:paraId="6ADD52E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（五）竞买人报价有下列情形之一的，为无效报价：</w:t>
      </w:r>
    </w:p>
    <w:p w14:paraId="209155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1、报价因竞买人网络故障未在挂牌报价期限内报价的；</w:t>
      </w:r>
    </w:p>
    <w:p w14:paraId="53FBB84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2、报价不符合报价规则的；</w:t>
      </w:r>
    </w:p>
    <w:p w14:paraId="4448F8B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3、报价与竞买文件不符的；</w:t>
      </w:r>
    </w:p>
    <w:p w14:paraId="3673D34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4、报价不符合挂牌文件规定的其他情形的。</w:t>
      </w:r>
    </w:p>
    <w:p w14:paraId="062B291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十二、注意事项</w:t>
      </w:r>
    </w:p>
    <w:p w14:paraId="5A63CA1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挂牌期满，网上挂牌出让成交确认系统根据下列条件自动确定竞得人：</w:t>
      </w:r>
    </w:p>
    <w:p w14:paraId="44CAA4E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（一）在挂牌期限内，只有一个竞买人报价，且报价等于或高于底价，挂牌成交；</w:t>
      </w:r>
    </w:p>
    <w:p w14:paraId="14058F8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（二）在挂牌期限内，有两个或者两个以上竞买人报价的，报价等于或高于底价，且出价最高者为竞得人；</w:t>
      </w:r>
    </w:p>
    <w:p w14:paraId="4DCC6A8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（三）在挂牌期限内，无应价者或竞买人的报价均低于底价的，挂牌不成交；</w:t>
      </w:r>
    </w:p>
    <w:p w14:paraId="015010C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在挂牌期限截止前10分钟，竞买人必须在挂牌报价期间最少有一次报价，才能进入最后的限时报价；</w:t>
      </w:r>
    </w:p>
    <w:p w14:paraId="6A83522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五</w:t>
      </w:r>
      <w:r>
        <w:rPr>
          <w:rFonts w:hint="eastAsia" w:eastAsia="仿宋_GB2312"/>
          <w:sz w:val="32"/>
          <w:lang w:val="zh-CN" w:eastAsia="zh-CN"/>
        </w:rPr>
        <w:t>）</w:t>
      </w:r>
      <w:r>
        <w:rPr>
          <w:rFonts w:hint="eastAsia" w:eastAsia="仿宋_GB2312"/>
          <w:sz w:val="32"/>
          <w:lang w:val="en-US" w:eastAsia="zh-CN"/>
        </w:rPr>
        <w:t>在挂牌期限截止时前10分钟内仍有竞买人报价的，将对挂牌宗地进行网上限时竞价，报价最高且报价等于或高于底价者为竞得人。</w:t>
      </w:r>
    </w:p>
    <w:p w14:paraId="7B5D9D9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6A9A284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申请人竞得土地后，拟成立新公司进行开发建设的，应在申请书中明确新公司的出资构成、成立时间等内容。大冶市自然资源和规划局可以根据挂牌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5B81C6A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非房地产开发企业申请竞得土地后，拟与有资质房地产开发公司签订联合开发合同，依照有关法律、行政法规的规定，作价入股，合资、合作开发经营房地产的，应在申请书中明确联合开发企业的名称、合作时间、方式等内容。大冶市自然资源和规划局可以根据挂牌出让结果与竞得人签订《国有建设用地使用权出让合同》，在竞得人按约定落实联合开发事项后，再与合作企业签订《国有建设用地使用权出让合同变更协议》，或者直接与合作企业签订《国有建设用地使用权出让合同》。</w:t>
      </w:r>
    </w:p>
    <w:p w14:paraId="606CDDA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（八）本次公开出让地块均设有出让底价，在公开出让活动结束前须严格保密。</w:t>
      </w:r>
    </w:p>
    <w:p w14:paraId="0B7A2DC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网上挂牌出让结果公布后，竞得人应当在3个工作日内持有关资料原件与大冶市自然资源和规划局签订《成交确认书》，委托人代签的，应提交法定代表人亲笔签名并盖章的授权委托书。《成交确认书》对出让人和竞得人具有法律效力，出让人改变公开出让结果的，或者竞得人放弃竞得宗地的，应当承担法律效力。</w:t>
      </w:r>
    </w:p>
    <w:p w14:paraId="05F9FA5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（十）竞得人的竞买保证金转作受让地块的定金；未竞得人的竞买保证金将于网上挂牌活动结束后5个工作日内不计利息全额退还。</w:t>
      </w:r>
    </w:p>
    <w:p w14:paraId="5C27D82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十一</w:t>
      </w:r>
      <w:r>
        <w:rPr>
          <w:rFonts w:hint="eastAsia" w:eastAsia="仿宋_GB2312"/>
          <w:sz w:val="32"/>
          <w:lang w:val="zh-CN" w:eastAsia="zh-CN"/>
        </w:rPr>
        <w:t>）有下列情形之一的，大冶市公共资源交易中心将中（终）止挂牌活动：</w:t>
      </w:r>
    </w:p>
    <w:p w14:paraId="2F99951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1、因系统遭受破坏或发生电力、网络故障等不可抗力以及网络恶意入侵等非挂牌人因素，导致系统不能正常运行的；</w:t>
      </w:r>
    </w:p>
    <w:p w14:paraId="3CF7D26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2、竞买人串通损害国家利益、社会利益或他人合法权益的；</w:t>
      </w:r>
    </w:p>
    <w:p w14:paraId="024F632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3、出让工作人员私下接触竞买人，足以影响公开出让公正性的；</w:t>
      </w:r>
    </w:p>
    <w:p w14:paraId="698411D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4、应当依法中（终）止公开出让活动的其他情形。</w:t>
      </w:r>
    </w:p>
    <w:p w14:paraId="4AFC24A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十二</w:t>
      </w:r>
      <w:r>
        <w:rPr>
          <w:rFonts w:hint="eastAsia" w:eastAsia="仿宋_GB2312"/>
          <w:sz w:val="32"/>
          <w:lang w:val="zh-CN" w:eastAsia="zh-CN"/>
        </w:rPr>
        <w:t>）竞得人有下列行为的视为违约，视为违约，出让人可取消其竞得人资格，竞买保证金不予退还：</w:t>
      </w:r>
    </w:p>
    <w:p w14:paraId="4B15187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1、竞得人逾期或拒绝签订《成交确认书》的；</w:t>
      </w:r>
    </w:p>
    <w:p w14:paraId="2D03827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2、竞得人逾期或拒绝签订《国有建设用地使用权出让合同》的；</w:t>
      </w:r>
    </w:p>
    <w:p w14:paraId="759FE45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十三</w:t>
      </w:r>
      <w:r>
        <w:rPr>
          <w:rFonts w:hint="eastAsia" w:eastAsia="仿宋_GB2312"/>
          <w:sz w:val="32"/>
          <w:lang w:val="zh-CN" w:eastAsia="zh-CN"/>
        </w:rPr>
        <w:t>）竞得人有下列行为之一的，竞得结果无效，造成损失的，应当依法承担赔偿责任：</w:t>
      </w:r>
    </w:p>
    <w:p w14:paraId="3D7F77D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1、采取行贿、恶意串通等非法手段竞得的；</w:t>
      </w:r>
    </w:p>
    <w:p w14:paraId="6D5A30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2、提供的注册信息不真实、不准确、不完整等原因造成宗地出让无法成交的；</w:t>
      </w:r>
    </w:p>
    <w:p w14:paraId="4A7DE07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3、不按网上注册时登记的内容提供有关文件材料，或提供虚假文件材料、隐瞒事实，引起出让纠纷的；</w:t>
      </w:r>
    </w:p>
    <w:p w14:paraId="08BF73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4、构成违约责任的其他行为。</w:t>
      </w:r>
    </w:p>
    <w:p w14:paraId="4C23040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（十四）上述宗地出让成交价为宗地的总地价款。</w:t>
      </w:r>
    </w:p>
    <w:p w14:paraId="47A0B4B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en-US" w:eastAsia="zh-CN"/>
        </w:rPr>
        <w:t>（十</w:t>
      </w:r>
      <w:r>
        <w:rPr>
          <w:rFonts w:hint="eastAsia" w:eastAsia="仿宋_GB2312"/>
          <w:sz w:val="32"/>
          <w:lang w:val="zh-CN" w:eastAsia="zh-CN"/>
        </w:rPr>
        <w:t>五</w:t>
      </w:r>
      <w:r>
        <w:rPr>
          <w:rFonts w:hint="eastAsia" w:eastAsia="仿宋_GB2312"/>
          <w:sz w:val="32"/>
          <w:lang w:val="en-US" w:eastAsia="zh-CN"/>
        </w:rPr>
        <w:t>）竞得人与出让人签订</w:t>
      </w:r>
      <w:r>
        <w:rPr>
          <w:rFonts w:hint="eastAsia" w:eastAsia="仿宋_GB2312"/>
          <w:sz w:val="32"/>
          <w:lang w:val="zh-CN" w:eastAsia="zh-CN"/>
        </w:rPr>
        <w:t>《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w:t>
      </w:r>
    </w:p>
    <w:p w14:paraId="577E75D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（十六）公开出让不成交的，应当按规定由大冶市公共资源交易中心重新组织出让。</w:t>
      </w:r>
    </w:p>
    <w:p w14:paraId="3B257A8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（十七）参加公开出让活动的人员，应遵守现场的纪律，服从管理人员的管理。</w:t>
      </w:r>
    </w:p>
    <w:p w14:paraId="76B838B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（十</w:t>
      </w:r>
      <w:r>
        <w:rPr>
          <w:rFonts w:hint="eastAsia" w:eastAsia="仿宋_GB2312"/>
          <w:sz w:val="32"/>
          <w:lang w:val="en-US" w:eastAsia="zh-CN"/>
        </w:rPr>
        <w:t>八</w:t>
      </w:r>
      <w:r>
        <w:rPr>
          <w:rFonts w:hint="eastAsia" w:eastAsia="仿宋_GB2312"/>
          <w:sz w:val="32"/>
          <w:lang w:val="zh-CN" w:eastAsia="zh-CN"/>
        </w:rPr>
        <w:t>）大冶市自然资源和规划局和大冶市公共资源交易中心对本《出让须知》有解释权。未尽事宜依照《招标拍卖挂牌出让国有土地使用权规范》办理。</w:t>
      </w:r>
    </w:p>
    <w:p w14:paraId="24F14D7A">
      <w:pPr>
        <w:keepNext w:val="0"/>
        <w:keepLines w:val="0"/>
        <w:pageBreakBefore w:val="0"/>
        <w:widowControl w:val="0"/>
        <w:kinsoku/>
        <w:wordWrap/>
        <w:overflowPunct/>
        <w:topLinePunct w:val="0"/>
        <w:autoSpaceDE/>
        <w:autoSpaceDN/>
        <w:bidi w:val="0"/>
        <w:adjustRightInd/>
        <w:snapToGrid/>
        <w:spacing w:line="44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出让人: 大冶市自然资源和规划局</w:t>
      </w:r>
    </w:p>
    <w:p w14:paraId="1F43B588">
      <w:pPr>
        <w:keepNext w:val="0"/>
        <w:keepLines w:val="0"/>
        <w:pageBreakBefore w:val="0"/>
        <w:widowControl w:val="0"/>
        <w:kinsoku/>
        <w:wordWrap/>
        <w:overflowPunct/>
        <w:topLinePunct w:val="0"/>
        <w:autoSpaceDE/>
        <w:autoSpaceDN/>
        <w:bidi w:val="0"/>
        <w:adjustRightInd/>
        <w:snapToGrid/>
        <w:spacing w:line="44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挂牌人：大冶市公共资源交易中心</w:t>
      </w:r>
    </w:p>
    <w:p w14:paraId="5CBAF78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 xml:space="preserve">                          2025年11月26日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8BB4B">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v:textbox>
            </v:shape>
          </w:pict>
        </mc:Fallback>
      </mc:AlternateContent>
    </w:r>
  </w:p>
  <w:p w14:paraId="7CDCA91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2411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3E1BE"/>
    <w:multiLevelType w:val="singleLevel"/>
    <w:tmpl w:val="1F63E1B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485EA7"/>
    <w:rsid w:val="00017D57"/>
    <w:rsid w:val="0004655D"/>
    <w:rsid w:val="00063C93"/>
    <w:rsid w:val="000B0193"/>
    <w:rsid w:val="000B369F"/>
    <w:rsid w:val="0013704A"/>
    <w:rsid w:val="00161710"/>
    <w:rsid w:val="00191FA6"/>
    <w:rsid w:val="001F0BC6"/>
    <w:rsid w:val="002169D1"/>
    <w:rsid w:val="00256845"/>
    <w:rsid w:val="00274595"/>
    <w:rsid w:val="00384597"/>
    <w:rsid w:val="003C2082"/>
    <w:rsid w:val="003D407D"/>
    <w:rsid w:val="004668F7"/>
    <w:rsid w:val="004707F7"/>
    <w:rsid w:val="00485EA7"/>
    <w:rsid w:val="004A7191"/>
    <w:rsid w:val="004F5862"/>
    <w:rsid w:val="00526F71"/>
    <w:rsid w:val="00537E93"/>
    <w:rsid w:val="00581546"/>
    <w:rsid w:val="0059520E"/>
    <w:rsid w:val="005E08BE"/>
    <w:rsid w:val="00651652"/>
    <w:rsid w:val="006903AF"/>
    <w:rsid w:val="006A1119"/>
    <w:rsid w:val="006E3433"/>
    <w:rsid w:val="00750654"/>
    <w:rsid w:val="00772468"/>
    <w:rsid w:val="007978A7"/>
    <w:rsid w:val="007A23C5"/>
    <w:rsid w:val="007A68C0"/>
    <w:rsid w:val="007F6B22"/>
    <w:rsid w:val="0086539F"/>
    <w:rsid w:val="008832BA"/>
    <w:rsid w:val="008F4E15"/>
    <w:rsid w:val="008F5690"/>
    <w:rsid w:val="00935A74"/>
    <w:rsid w:val="00954E25"/>
    <w:rsid w:val="009B3888"/>
    <w:rsid w:val="009B6922"/>
    <w:rsid w:val="00A07983"/>
    <w:rsid w:val="00A262DF"/>
    <w:rsid w:val="00A41AA2"/>
    <w:rsid w:val="00A61DA6"/>
    <w:rsid w:val="00A76A57"/>
    <w:rsid w:val="00A81E04"/>
    <w:rsid w:val="00AC2AE1"/>
    <w:rsid w:val="00AE3E74"/>
    <w:rsid w:val="00AE56BD"/>
    <w:rsid w:val="00B23622"/>
    <w:rsid w:val="00B3093C"/>
    <w:rsid w:val="00B31EB2"/>
    <w:rsid w:val="00B32B82"/>
    <w:rsid w:val="00B53BC3"/>
    <w:rsid w:val="00B759F5"/>
    <w:rsid w:val="00BD6DC2"/>
    <w:rsid w:val="00BF43F5"/>
    <w:rsid w:val="00BF48D1"/>
    <w:rsid w:val="00C12AC2"/>
    <w:rsid w:val="00C5453F"/>
    <w:rsid w:val="00C820DF"/>
    <w:rsid w:val="00D3529F"/>
    <w:rsid w:val="00D515AA"/>
    <w:rsid w:val="00D53510"/>
    <w:rsid w:val="00DB28EB"/>
    <w:rsid w:val="00DF0199"/>
    <w:rsid w:val="00DF51C4"/>
    <w:rsid w:val="00E338A3"/>
    <w:rsid w:val="00E3595E"/>
    <w:rsid w:val="00EB635F"/>
    <w:rsid w:val="00ED7D7C"/>
    <w:rsid w:val="00F01FAE"/>
    <w:rsid w:val="00F8183B"/>
    <w:rsid w:val="00FA5FC1"/>
    <w:rsid w:val="01470A8A"/>
    <w:rsid w:val="0234146B"/>
    <w:rsid w:val="026B1CAC"/>
    <w:rsid w:val="02A6208A"/>
    <w:rsid w:val="03192F53"/>
    <w:rsid w:val="03A57BB6"/>
    <w:rsid w:val="03AD4F46"/>
    <w:rsid w:val="03F903E8"/>
    <w:rsid w:val="040A6059"/>
    <w:rsid w:val="044C5C91"/>
    <w:rsid w:val="04F251B7"/>
    <w:rsid w:val="06AF5C89"/>
    <w:rsid w:val="06D27B45"/>
    <w:rsid w:val="07136F21"/>
    <w:rsid w:val="07752E49"/>
    <w:rsid w:val="078F5063"/>
    <w:rsid w:val="080E64F0"/>
    <w:rsid w:val="09395457"/>
    <w:rsid w:val="09451E80"/>
    <w:rsid w:val="099215DD"/>
    <w:rsid w:val="09DC19A3"/>
    <w:rsid w:val="09E069E0"/>
    <w:rsid w:val="0B5517FF"/>
    <w:rsid w:val="0B947424"/>
    <w:rsid w:val="0B972846"/>
    <w:rsid w:val="0B9C0B56"/>
    <w:rsid w:val="0BA64504"/>
    <w:rsid w:val="0BBB6D74"/>
    <w:rsid w:val="0C0C6FFE"/>
    <w:rsid w:val="0C1E24BA"/>
    <w:rsid w:val="0C5276F6"/>
    <w:rsid w:val="0C85710C"/>
    <w:rsid w:val="0CB32891"/>
    <w:rsid w:val="0CD43832"/>
    <w:rsid w:val="0CE20A75"/>
    <w:rsid w:val="0D0237E6"/>
    <w:rsid w:val="0D4E2433"/>
    <w:rsid w:val="0E245DB5"/>
    <w:rsid w:val="0F2B21D1"/>
    <w:rsid w:val="10033E05"/>
    <w:rsid w:val="103310FF"/>
    <w:rsid w:val="10B615B1"/>
    <w:rsid w:val="1173458B"/>
    <w:rsid w:val="12A56387"/>
    <w:rsid w:val="12AD58FA"/>
    <w:rsid w:val="12D431CA"/>
    <w:rsid w:val="134E4D7B"/>
    <w:rsid w:val="13C97AB2"/>
    <w:rsid w:val="14692D4B"/>
    <w:rsid w:val="15183C46"/>
    <w:rsid w:val="15261520"/>
    <w:rsid w:val="1589624B"/>
    <w:rsid w:val="16F15C1A"/>
    <w:rsid w:val="17125A2B"/>
    <w:rsid w:val="1747408E"/>
    <w:rsid w:val="17987ED6"/>
    <w:rsid w:val="17AD036A"/>
    <w:rsid w:val="17C07B85"/>
    <w:rsid w:val="1A3E0B5E"/>
    <w:rsid w:val="1A3F6FDA"/>
    <w:rsid w:val="1A422262"/>
    <w:rsid w:val="1A4C1469"/>
    <w:rsid w:val="1A644ACB"/>
    <w:rsid w:val="1B3E3158"/>
    <w:rsid w:val="1BBD054F"/>
    <w:rsid w:val="1BE44CD8"/>
    <w:rsid w:val="1D8115EF"/>
    <w:rsid w:val="1D850D43"/>
    <w:rsid w:val="1DD67227"/>
    <w:rsid w:val="1EBC1E87"/>
    <w:rsid w:val="1EBE4CE7"/>
    <w:rsid w:val="1ED42593"/>
    <w:rsid w:val="1ED456D5"/>
    <w:rsid w:val="1EFB4DF0"/>
    <w:rsid w:val="1F107A0B"/>
    <w:rsid w:val="1F490FDE"/>
    <w:rsid w:val="1F4D7A5F"/>
    <w:rsid w:val="1F7B1B2B"/>
    <w:rsid w:val="1F7F525B"/>
    <w:rsid w:val="1FC47655"/>
    <w:rsid w:val="205B3537"/>
    <w:rsid w:val="20767D24"/>
    <w:rsid w:val="211F27A2"/>
    <w:rsid w:val="21E31DAC"/>
    <w:rsid w:val="220F2576"/>
    <w:rsid w:val="22341638"/>
    <w:rsid w:val="23C633D6"/>
    <w:rsid w:val="24871F79"/>
    <w:rsid w:val="24F102EF"/>
    <w:rsid w:val="253F3C7F"/>
    <w:rsid w:val="256F1F2A"/>
    <w:rsid w:val="25EA1EE5"/>
    <w:rsid w:val="264F1406"/>
    <w:rsid w:val="26D133AD"/>
    <w:rsid w:val="27602533"/>
    <w:rsid w:val="276F6AA3"/>
    <w:rsid w:val="27A02CD7"/>
    <w:rsid w:val="283B51DE"/>
    <w:rsid w:val="286E2172"/>
    <w:rsid w:val="29196318"/>
    <w:rsid w:val="295343F4"/>
    <w:rsid w:val="298F59D8"/>
    <w:rsid w:val="29BA06E9"/>
    <w:rsid w:val="29D82F19"/>
    <w:rsid w:val="2A3355E6"/>
    <w:rsid w:val="2A9E025F"/>
    <w:rsid w:val="2AA60373"/>
    <w:rsid w:val="2AAF3CF3"/>
    <w:rsid w:val="2B7F49F2"/>
    <w:rsid w:val="2B921CB8"/>
    <w:rsid w:val="2CBC41A6"/>
    <w:rsid w:val="2CC26F77"/>
    <w:rsid w:val="2CEC7851"/>
    <w:rsid w:val="2CFC4874"/>
    <w:rsid w:val="2D5A2D35"/>
    <w:rsid w:val="2DD07165"/>
    <w:rsid w:val="2EFC40D4"/>
    <w:rsid w:val="2F1561E6"/>
    <w:rsid w:val="2FD004EE"/>
    <w:rsid w:val="2FFB1718"/>
    <w:rsid w:val="30213B91"/>
    <w:rsid w:val="308E5759"/>
    <w:rsid w:val="312943A1"/>
    <w:rsid w:val="31B7353F"/>
    <w:rsid w:val="31ED20B3"/>
    <w:rsid w:val="32AA709A"/>
    <w:rsid w:val="33C92C70"/>
    <w:rsid w:val="33CB05F6"/>
    <w:rsid w:val="347539F9"/>
    <w:rsid w:val="351155A5"/>
    <w:rsid w:val="353C34F0"/>
    <w:rsid w:val="35D81069"/>
    <w:rsid w:val="35EE6569"/>
    <w:rsid w:val="36B1178F"/>
    <w:rsid w:val="36FC067D"/>
    <w:rsid w:val="38E649E2"/>
    <w:rsid w:val="39881FEC"/>
    <w:rsid w:val="39C20B54"/>
    <w:rsid w:val="3A355F7C"/>
    <w:rsid w:val="3A6E421F"/>
    <w:rsid w:val="3A737EEC"/>
    <w:rsid w:val="3B3B6E0D"/>
    <w:rsid w:val="3B4F1036"/>
    <w:rsid w:val="3B981C9E"/>
    <w:rsid w:val="3BB21864"/>
    <w:rsid w:val="3BDF1A38"/>
    <w:rsid w:val="3BE4530F"/>
    <w:rsid w:val="3C6F3E3B"/>
    <w:rsid w:val="3C9D6A8C"/>
    <w:rsid w:val="3CFD528C"/>
    <w:rsid w:val="3EB013AB"/>
    <w:rsid w:val="3F5D58F1"/>
    <w:rsid w:val="3FAF7EBF"/>
    <w:rsid w:val="3FCC6897"/>
    <w:rsid w:val="405C5A84"/>
    <w:rsid w:val="40D13944"/>
    <w:rsid w:val="4221748A"/>
    <w:rsid w:val="423D466F"/>
    <w:rsid w:val="428B4359"/>
    <w:rsid w:val="42B03CCC"/>
    <w:rsid w:val="42B768CD"/>
    <w:rsid w:val="42CC3F33"/>
    <w:rsid w:val="43207D0A"/>
    <w:rsid w:val="43631EE8"/>
    <w:rsid w:val="43B35BE1"/>
    <w:rsid w:val="43CB3901"/>
    <w:rsid w:val="43CE593D"/>
    <w:rsid w:val="443E1BD5"/>
    <w:rsid w:val="44F53EC9"/>
    <w:rsid w:val="451A11C3"/>
    <w:rsid w:val="453B3109"/>
    <w:rsid w:val="456C7660"/>
    <w:rsid w:val="45B349FB"/>
    <w:rsid w:val="45CC4C92"/>
    <w:rsid w:val="46BD5C01"/>
    <w:rsid w:val="47066E73"/>
    <w:rsid w:val="4722726A"/>
    <w:rsid w:val="473000FD"/>
    <w:rsid w:val="47697F3B"/>
    <w:rsid w:val="47B45F3C"/>
    <w:rsid w:val="48053C34"/>
    <w:rsid w:val="48123E79"/>
    <w:rsid w:val="497C22B2"/>
    <w:rsid w:val="49D076B0"/>
    <w:rsid w:val="4A1417AA"/>
    <w:rsid w:val="4A5D7320"/>
    <w:rsid w:val="4B5D2B2A"/>
    <w:rsid w:val="4CD36D03"/>
    <w:rsid w:val="4CD73D60"/>
    <w:rsid w:val="4D342AC5"/>
    <w:rsid w:val="4D694DA4"/>
    <w:rsid w:val="4D6B42BE"/>
    <w:rsid w:val="4DCA136A"/>
    <w:rsid w:val="4DFE6388"/>
    <w:rsid w:val="4E4022B9"/>
    <w:rsid w:val="4ECF6BCC"/>
    <w:rsid w:val="508B38AC"/>
    <w:rsid w:val="50B259D2"/>
    <w:rsid w:val="50F53BA8"/>
    <w:rsid w:val="51F11F6A"/>
    <w:rsid w:val="5229107C"/>
    <w:rsid w:val="527349B4"/>
    <w:rsid w:val="52E10274"/>
    <w:rsid w:val="53572425"/>
    <w:rsid w:val="53CA7249"/>
    <w:rsid w:val="549A08F7"/>
    <w:rsid w:val="55470037"/>
    <w:rsid w:val="55A236BA"/>
    <w:rsid w:val="55CD0E83"/>
    <w:rsid w:val="567B53FF"/>
    <w:rsid w:val="57A73D22"/>
    <w:rsid w:val="585D638C"/>
    <w:rsid w:val="58987D0A"/>
    <w:rsid w:val="592839E3"/>
    <w:rsid w:val="593517E3"/>
    <w:rsid w:val="59455451"/>
    <w:rsid w:val="598F6A85"/>
    <w:rsid w:val="5A812739"/>
    <w:rsid w:val="5AB77DD7"/>
    <w:rsid w:val="5BAE76FF"/>
    <w:rsid w:val="5BBE76F4"/>
    <w:rsid w:val="5BE91279"/>
    <w:rsid w:val="5CA01AB6"/>
    <w:rsid w:val="5EBD399D"/>
    <w:rsid w:val="5F4212D9"/>
    <w:rsid w:val="5FB04F89"/>
    <w:rsid w:val="600E1E6F"/>
    <w:rsid w:val="60636A31"/>
    <w:rsid w:val="61922484"/>
    <w:rsid w:val="61A67C9A"/>
    <w:rsid w:val="61CA201F"/>
    <w:rsid w:val="621C1ADB"/>
    <w:rsid w:val="621C3A13"/>
    <w:rsid w:val="625C2BFE"/>
    <w:rsid w:val="625C3E83"/>
    <w:rsid w:val="631312C7"/>
    <w:rsid w:val="63620E0E"/>
    <w:rsid w:val="63B86D94"/>
    <w:rsid w:val="63DC30DC"/>
    <w:rsid w:val="643B7D84"/>
    <w:rsid w:val="65822F4C"/>
    <w:rsid w:val="65AF5444"/>
    <w:rsid w:val="65E71F28"/>
    <w:rsid w:val="6629349B"/>
    <w:rsid w:val="666F3498"/>
    <w:rsid w:val="66A23BB0"/>
    <w:rsid w:val="66AD7815"/>
    <w:rsid w:val="67AF42C4"/>
    <w:rsid w:val="67D853AC"/>
    <w:rsid w:val="68A70936"/>
    <w:rsid w:val="69264FE4"/>
    <w:rsid w:val="69445670"/>
    <w:rsid w:val="69520885"/>
    <w:rsid w:val="69E132A1"/>
    <w:rsid w:val="6CD66CA4"/>
    <w:rsid w:val="6D1D7B0C"/>
    <w:rsid w:val="6D5710EB"/>
    <w:rsid w:val="6D9D7DC0"/>
    <w:rsid w:val="6DB01FA2"/>
    <w:rsid w:val="6EEF41B0"/>
    <w:rsid w:val="6F772A31"/>
    <w:rsid w:val="6F904D6D"/>
    <w:rsid w:val="70274708"/>
    <w:rsid w:val="704D723E"/>
    <w:rsid w:val="70CC7133"/>
    <w:rsid w:val="714A2C60"/>
    <w:rsid w:val="71723ECA"/>
    <w:rsid w:val="71CC141B"/>
    <w:rsid w:val="72F93BFA"/>
    <w:rsid w:val="730F7E05"/>
    <w:rsid w:val="73536E8D"/>
    <w:rsid w:val="73935E33"/>
    <w:rsid w:val="74B717BB"/>
    <w:rsid w:val="74B74C17"/>
    <w:rsid w:val="754679FD"/>
    <w:rsid w:val="7547692F"/>
    <w:rsid w:val="76BB6642"/>
    <w:rsid w:val="76BE35C4"/>
    <w:rsid w:val="76CB6BAA"/>
    <w:rsid w:val="76E70A9E"/>
    <w:rsid w:val="773D0CC8"/>
    <w:rsid w:val="77E45344"/>
    <w:rsid w:val="77F95CBE"/>
    <w:rsid w:val="7812538D"/>
    <w:rsid w:val="795E29C8"/>
    <w:rsid w:val="79DA24A9"/>
    <w:rsid w:val="7A255AF3"/>
    <w:rsid w:val="7A5A6AA7"/>
    <w:rsid w:val="7A7E636C"/>
    <w:rsid w:val="7BF939F1"/>
    <w:rsid w:val="7C157AF8"/>
    <w:rsid w:val="7C5652B8"/>
    <w:rsid w:val="7C8E2DE4"/>
    <w:rsid w:val="7D9032CF"/>
    <w:rsid w:val="7E4E3F93"/>
    <w:rsid w:val="7E510DCF"/>
    <w:rsid w:val="7EB413CA"/>
    <w:rsid w:val="7FAC5749"/>
    <w:rsid w:val="7FB9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540" w:lineRule="exact"/>
      <w:ind w:firstLine="643" w:firstLineChars="200"/>
    </w:pPr>
    <w:rPr>
      <w:rFonts w:ascii="Times New Roman" w:hAnsi="Times New Roman" w:eastAsia="仿宋_GB2312" w:cs="Times New Roman"/>
      <w:b/>
      <w:bCs/>
      <w:sz w:val="32"/>
      <w:szCs w:val="24"/>
    </w:rPr>
  </w:style>
  <w:style w:type="paragraph" w:styleId="3">
    <w:name w:val="Body Text Indent 2"/>
    <w:basedOn w:val="1"/>
    <w:autoRedefine/>
    <w:semiHidden/>
    <w:unhideWhenUsed/>
    <w:qFormat/>
    <w:uiPriority w:val="99"/>
    <w:pPr>
      <w:spacing w:line="580" w:lineRule="exact"/>
      <w:ind w:firstLine="640" w:firstLineChars="200"/>
    </w:pPr>
    <w:rPr>
      <w:rFonts w:ascii="仿宋_GB2312" w:eastAsia="仿宋_GB2312"/>
      <w:sz w:val="32"/>
    </w:rPr>
  </w:style>
  <w:style w:type="paragraph" w:styleId="4">
    <w:name w:val="Balloon Text"/>
    <w:basedOn w:val="1"/>
    <w:link w:val="13"/>
    <w:autoRedefine/>
    <w:unhideWhenUsed/>
    <w:qFormat/>
    <w:uiPriority w:val="99"/>
    <w:rPr>
      <w:sz w:val="18"/>
      <w:szCs w:val="18"/>
    </w:rPr>
  </w:style>
  <w:style w:type="paragraph" w:styleId="5">
    <w:name w:val="footer"/>
    <w:basedOn w:val="1"/>
    <w:link w:val="10"/>
    <w:autoRedefine/>
    <w:unhideWhenUsed/>
    <w:qFormat/>
    <w:uiPriority w:val="99"/>
    <w:pPr>
      <w:tabs>
        <w:tab w:val="center" w:pos="4153"/>
        <w:tab w:val="right" w:pos="8306"/>
      </w:tabs>
      <w:snapToGrid w:val="0"/>
      <w:jc w:val="left"/>
    </w:pPr>
    <w:rPr>
      <w:sz w:val="18"/>
      <w:szCs w:val="18"/>
    </w:rPr>
  </w:style>
  <w:style w:type="paragraph" w:styleId="6">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99"/>
    <w:rPr>
      <w:sz w:val="18"/>
      <w:szCs w:val="18"/>
    </w:rPr>
  </w:style>
  <w:style w:type="character" w:customStyle="1" w:styleId="10">
    <w:name w:val="页脚 Char"/>
    <w:basedOn w:val="8"/>
    <w:link w:val="5"/>
    <w:autoRedefine/>
    <w:qFormat/>
    <w:uiPriority w:val="99"/>
    <w:rPr>
      <w:sz w:val="18"/>
      <w:szCs w:val="18"/>
    </w:rPr>
  </w:style>
  <w:style w:type="character" w:customStyle="1" w:styleId="11">
    <w:name w:val="font11"/>
    <w:basedOn w:val="8"/>
    <w:autoRedefine/>
    <w:qFormat/>
    <w:uiPriority w:val="0"/>
    <w:rPr>
      <w:rFonts w:hint="default" w:ascii="Times New Roman" w:hAnsi="Times New Roman" w:cs="Times New Roman"/>
      <w:color w:val="000000"/>
      <w:sz w:val="20"/>
      <w:szCs w:val="20"/>
      <w:u w:val="none"/>
    </w:rPr>
  </w:style>
  <w:style w:type="character" w:customStyle="1" w:styleId="12">
    <w:name w:val="正文文本缩进 Char"/>
    <w:basedOn w:val="8"/>
    <w:link w:val="2"/>
    <w:autoRedefine/>
    <w:qFormat/>
    <w:uiPriority w:val="0"/>
    <w:rPr>
      <w:rFonts w:ascii="Times New Roman" w:hAnsi="Times New Roman" w:eastAsia="仿宋_GB2312" w:cs="Times New Roman"/>
      <w:b/>
      <w:bCs/>
      <w:sz w:val="32"/>
      <w:szCs w:val="24"/>
    </w:rPr>
  </w:style>
  <w:style w:type="character" w:customStyle="1" w:styleId="13">
    <w:name w:val="批注框文本 Char"/>
    <w:basedOn w:val="8"/>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Pages>
  <Words>4659</Words>
  <Characters>4884</Characters>
  <Lines>42</Lines>
  <Paragraphs>12</Paragraphs>
  <TotalTime>4</TotalTime>
  <ScaleCrop>false</ScaleCrop>
  <LinksUpToDate>false</LinksUpToDate>
  <CharactersWithSpaces>4915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2017-11-20T01:05:00Z</dcterms:created>
  <dc:creator>Sky123.Org</dc:creator>
  <cp:lastModifiedBy>WPS_1665536116</cp:lastModifiedBy>
  <cp:lastPrinted>2025-11-25T02:30:53Z</cp:lastPrinted>
  <dcterms:modified xsi:type="dcterms:W3CDTF">2025-11-25T02:31:50Z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C41C1A08E972450F9A134D24BCA5E2BF_13</vt:lpwstr>
  </property>
  <property fmtid="{D5CDD505-2E9C-101B-9397-08002B2CF9AE}" pid="4" name="KSOTemplateDocerSaveRecord">
    <vt:lpwstr>eyJoZGlkIjoiYWI2YzIwOTA2MDQyYmUyOGZkNDJhMzNiZDQ2ODljMTMiLCJ1c2VySWQiOiIxNDE4NjQyNzI2In0=</vt:lpwstr>
  </property>
</Properties>
</file>