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4</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1</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4001号地块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731" w:type="dxa"/>
        <w:jc w:val="center"/>
        <w:tblLayout w:type="fixed"/>
        <w:tblCellMar>
          <w:top w:w="0" w:type="dxa"/>
          <w:left w:w="0" w:type="dxa"/>
          <w:bottom w:w="0" w:type="dxa"/>
          <w:right w:w="0" w:type="dxa"/>
        </w:tblCellMar>
      </w:tblPr>
      <w:tblGrid>
        <w:gridCol w:w="771"/>
        <w:gridCol w:w="1686"/>
        <w:gridCol w:w="885"/>
        <w:gridCol w:w="929"/>
        <w:gridCol w:w="795"/>
        <w:gridCol w:w="793"/>
        <w:gridCol w:w="641"/>
        <w:gridCol w:w="670"/>
        <w:gridCol w:w="1059"/>
        <w:gridCol w:w="730"/>
        <w:gridCol w:w="772"/>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6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79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10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7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G24001</w:t>
            </w:r>
          </w:p>
        </w:tc>
        <w:tc>
          <w:tcPr>
            <w:tcW w:w="16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观山路南侧叶家坝地块</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5277.48</w:t>
            </w:r>
          </w:p>
        </w:tc>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5277.48</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≤4.5（商业≤10%）</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≥15</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　　</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450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2250</w:t>
            </w:r>
          </w:p>
        </w:tc>
      </w:tr>
      <w:tr>
        <w:tblPrEx>
          <w:tblCellMar>
            <w:top w:w="0" w:type="dxa"/>
            <w:left w:w="0" w:type="dxa"/>
            <w:bottom w:w="0" w:type="dxa"/>
            <w:right w:w="0" w:type="dxa"/>
          </w:tblCellMar>
        </w:tblPrEx>
        <w:trPr>
          <w:cantSplit/>
          <w:trHeight w:val="555" w:hRule="atLeast"/>
          <w:jc w:val="center"/>
        </w:trPr>
        <w:tc>
          <w:tcPr>
            <w:tcW w:w="973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24001</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23748</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四</w:t>
      </w:r>
      <w:r>
        <w:rPr>
          <w:rFonts w:hint="eastAsia" w:eastAsia="仿宋_GB2312"/>
          <w:sz w:val="32"/>
          <w:lang w:eastAsia="zh-CN"/>
        </w:rPr>
        <w:t>、</w:t>
      </w:r>
      <w:r>
        <w:rPr>
          <w:rFonts w:hint="eastAsia" w:eastAsia="仿宋_GB2312"/>
          <w:sz w:val="32"/>
        </w:rPr>
        <w:t>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eastAsia="zh-CN"/>
        </w:rPr>
      </w:pPr>
      <w:r>
        <w:rPr>
          <w:rFonts w:hint="eastAsia" w:eastAsia="仿宋_GB2312"/>
          <w:sz w:val="32"/>
          <w:lang w:eastAsia="zh-CN"/>
        </w:rPr>
        <w:t>（</w:t>
      </w:r>
      <w:r>
        <w:rPr>
          <w:rFonts w:hint="eastAsia" w:eastAsia="仿宋_GB2312"/>
          <w:sz w:val="32"/>
          <w:lang w:val="en-US" w:eastAsia="zh-CN"/>
        </w:rPr>
        <w:t>五</w:t>
      </w:r>
      <w:r>
        <w:rPr>
          <w:rFonts w:hint="eastAsia" w:eastAsia="仿宋_GB2312"/>
          <w:sz w:val="32"/>
          <w:lang w:eastAsia="zh-CN"/>
        </w:rPr>
        <w:t>）</w:t>
      </w:r>
      <w:r>
        <w:rPr>
          <w:rFonts w:hint="eastAsia" w:eastAsia="仿宋_GB2312"/>
          <w:sz w:val="32"/>
          <w:lang w:val="en-US" w:eastAsia="zh-CN"/>
        </w:rPr>
        <w:t>地块西、南侧现有巷道作为公共通道保证居民正常通行要求，不得修建固定建筑。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2024年3月22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（七）竞买人保证金必须从单位账户汇出，在网上交易系统点击“申购”,通过交易系统在2024年3月22日17时00分前,一次性足额将竞买保证金汇入我中心指定的保证金账户。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挂牌时间为13日，具体如下：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1、挂牌起始时间：2024年3月13日上午10时；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2、挂牌截止时间：2024年3月26日上午10时。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十一、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eastAsia="zh-CN"/>
        </w:rPr>
      </w:pPr>
      <w:r>
        <w:rPr>
          <w:rFonts w:hint="eastAsia" w:eastAsia="仿宋_GB2312"/>
          <w:sz w:val="32"/>
          <w:lang w:val="en-US" w:eastAsia="zh-CN"/>
        </w:rPr>
        <w:t>（一）G24001</w:t>
      </w:r>
      <w:r>
        <w:rPr>
          <w:rFonts w:hint="eastAsia" w:eastAsia="仿宋_GB2312"/>
          <w:sz w:val="32"/>
        </w:rPr>
        <w:t>号地块为人民币大写</w:t>
      </w:r>
      <w:r>
        <w:rPr>
          <w:rFonts w:hint="eastAsia" w:eastAsia="仿宋_GB2312"/>
          <w:sz w:val="32"/>
          <w:lang w:val="en-US" w:eastAsia="zh-CN"/>
        </w:rPr>
        <w:t>肆佰伍拾</w:t>
      </w:r>
      <w:r>
        <w:rPr>
          <w:rFonts w:hint="eastAsia" w:eastAsia="仿宋_GB2312"/>
          <w:sz w:val="32"/>
        </w:rPr>
        <w:t>万元整（￥：</w:t>
      </w:r>
      <w:r>
        <w:rPr>
          <w:rFonts w:hint="eastAsia" w:eastAsia="仿宋_GB2312"/>
          <w:sz w:val="32"/>
          <w:lang w:val="en-US" w:eastAsia="zh-CN"/>
        </w:rPr>
        <w:t>450</w:t>
      </w:r>
      <w:r>
        <w:rPr>
          <w:rFonts w:hint="eastAsia" w:eastAsia="仿宋_GB2312"/>
          <w:sz w:val="32"/>
        </w:rPr>
        <w:t>0000.00）</w:t>
      </w:r>
      <w:r>
        <w:rPr>
          <w:rFonts w:hint="eastAsia" w:eastAsia="仿宋_GB2312"/>
          <w:sz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eastAsia="zh-CN"/>
        </w:rPr>
      </w:pPr>
      <w:r>
        <w:rPr>
          <w:rFonts w:hint="eastAsia" w:eastAsia="仿宋_GB2312"/>
          <w:sz w:val="32"/>
          <w:lang w:val="en-US" w:eastAsia="zh-CN"/>
        </w:rPr>
        <w:t>G24001</w:t>
      </w:r>
      <w:r>
        <w:rPr>
          <w:rFonts w:hint="eastAsia" w:eastAsia="仿宋_GB2312"/>
          <w:sz w:val="32"/>
        </w:rPr>
        <w:t>号地块：出让起始价为人民币大写</w:t>
      </w:r>
      <w:r>
        <w:rPr>
          <w:rFonts w:hint="eastAsia" w:eastAsia="仿宋_GB2312"/>
          <w:sz w:val="32"/>
          <w:lang w:val="en-US" w:eastAsia="zh-CN"/>
        </w:rPr>
        <w:t>贰仟贰佰伍拾</w:t>
      </w:r>
      <w:r>
        <w:rPr>
          <w:rFonts w:hint="eastAsia" w:eastAsia="仿宋_GB2312"/>
          <w:sz w:val="32"/>
        </w:rPr>
        <w:t>万元整（￥</w:t>
      </w:r>
      <w:r>
        <w:rPr>
          <w:rFonts w:hint="eastAsia" w:eastAsia="仿宋_GB2312"/>
          <w:sz w:val="32"/>
          <w:lang w:val="en-US" w:eastAsia="zh-CN"/>
        </w:rPr>
        <w:t>2250</w:t>
      </w:r>
      <w:r>
        <w:rPr>
          <w:rFonts w:hint="eastAsia" w:eastAsia="仿宋_GB2312"/>
          <w:sz w:val="32"/>
        </w:rPr>
        <w:t>0000.00），增价幅度为人民币大写壹拾万元或壹拾万元的整倍数</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2024年2月22日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0237E6"/>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422262"/>
    <w:rsid w:val="1A644ACB"/>
    <w:rsid w:val="1B3E3158"/>
    <w:rsid w:val="1BBD054F"/>
    <w:rsid w:val="1BE44CD8"/>
    <w:rsid w:val="1EBC1E87"/>
    <w:rsid w:val="1EBE4CE7"/>
    <w:rsid w:val="1ED456D5"/>
    <w:rsid w:val="1EFB4DF0"/>
    <w:rsid w:val="1F107A0B"/>
    <w:rsid w:val="1F490FDE"/>
    <w:rsid w:val="1F4D7A5F"/>
    <w:rsid w:val="1F7B1B2B"/>
    <w:rsid w:val="1FC47655"/>
    <w:rsid w:val="211F27A2"/>
    <w:rsid w:val="21E31DAC"/>
    <w:rsid w:val="220F2576"/>
    <w:rsid w:val="22341638"/>
    <w:rsid w:val="23C633D6"/>
    <w:rsid w:val="24871F79"/>
    <w:rsid w:val="24F102EF"/>
    <w:rsid w:val="256F1F2A"/>
    <w:rsid w:val="25EA1EE5"/>
    <w:rsid w:val="264F1406"/>
    <w:rsid w:val="26D133AD"/>
    <w:rsid w:val="27602533"/>
    <w:rsid w:val="276F6AA3"/>
    <w:rsid w:val="27A02CD7"/>
    <w:rsid w:val="283B51DE"/>
    <w:rsid w:val="286E2172"/>
    <w:rsid w:val="295343F4"/>
    <w:rsid w:val="298F59D8"/>
    <w:rsid w:val="29BA06E9"/>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2B03CCC"/>
    <w:rsid w:val="43207D0A"/>
    <w:rsid w:val="43631EE8"/>
    <w:rsid w:val="43B35BE1"/>
    <w:rsid w:val="43CB3901"/>
    <w:rsid w:val="443E1BD5"/>
    <w:rsid w:val="451A11C3"/>
    <w:rsid w:val="453B3109"/>
    <w:rsid w:val="456C7660"/>
    <w:rsid w:val="45B349FB"/>
    <w:rsid w:val="46BD5C01"/>
    <w:rsid w:val="47066E73"/>
    <w:rsid w:val="473000FD"/>
    <w:rsid w:val="47697F3B"/>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F53BA8"/>
    <w:rsid w:val="51F11F6A"/>
    <w:rsid w:val="5229107C"/>
    <w:rsid w:val="527349B4"/>
    <w:rsid w:val="52E10274"/>
    <w:rsid w:val="53572425"/>
    <w:rsid w:val="549A08F7"/>
    <w:rsid w:val="55470037"/>
    <w:rsid w:val="55A236BA"/>
    <w:rsid w:val="55CD0E83"/>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25C3E83"/>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536E8D"/>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autoRedefine/>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autoRedefine/>
    <w:unhideWhenUsed/>
    <w:qFormat/>
    <w:uiPriority w:val="99"/>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font11"/>
    <w:basedOn w:val="8"/>
    <w:autoRedefine/>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autoRedefine/>
    <w:qFormat/>
    <w:uiPriority w:val="0"/>
    <w:rPr>
      <w:rFonts w:ascii="Times New Roman" w:hAnsi="Times New Roman" w:eastAsia="仿宋_GB2312" w:cs="Times New Roman"/>
      <w:b/>
      <w:bCs/>
      <w:sz w:val="32"/>
      <w:szCs w:val="24"/>
    </w:rPr>
  </w:style>
  <w:style w:type="character" w:customStyle="1" w:styleId="13">
    <w:name w:val="批注框文本 Char"/>
    <w:basedOn w:val="8"/>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11</TotalTime>
  <ScaleCrop>false</ScaleCrop>
  <LinksUpToDate>false</LinksUpToDate>
  <CharactersWithSpaces>4886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2024-02-21T03:03:00Z</cp:lastPrinted>
  <dcterms:modified xsi:type="dcterms:W3CDTF">2024-02-22T01:35:48Z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C41C1A08E972450F9A134D24BCA5E2BF_13</vt:lpwstr>
  </property>
</Properties>
</file>