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420"/>
        <w:rPr>
          <w:rFonts w:ascii="Arial" w:hAnsi="Arial" w:cs="Arial"/>
          <w:i w:val="0"/>
          <w:caps w:val="0"/>
          <w:color w:val="000000"/>
          <w:spacing w:val="0"/>
          <w:sz w:val="28"/>
          <w:szCs w:val="28"/>
        </w:rPr>
      </w:pPr>
      <w:r>
        <w:rPr>
          <w:rFonts w:hint="default" w:ascii="Arial" w:hAnsi="Arial" w:cs="Arial"/>
          <w:i w:val="0"/>
          <w:caps w:val="0"/>
          <w:color w:val="000000"/>
          <w:spacing w:val="0"/>
          <w:sz w:val="28"/>
          <w:szCs w:val="28"/>
        </w:rPr>
        <w:t>一、总体情况</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根据《中华人民共和国政府信息公开条例》(国务院令第711号，以下简称《条例》)和《国务院办公厅政府信息与政务公开办公室关于政府信息公开工作年度报告有关事项的通知》（国办公开办函〔2019〕60号）的要求，编制汇总大冶市政府2019年政府信息公开工作情况，分析了存在的问题，提出了改进措施。报告中所列数据的统计期限为2019年1月1日至2019年12月31日。</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2019年，大冶市认真贯彻落实《中华人民共和国政府信息公开条例》和省、市关于做好政府信息公开工作的各项要求，具体工作职责，细化工作分工，加强督导监督，通过政府门户网站主动公开要闻类、热点关注类、重点领域信息公开、民生类等共计8973条，预决算、专项资金、三公经费等信息960条，公开市政府和市政府办公室名义下发的文件245个，政策法规性文件3个，做到信息公开及时、准确、规范。       </w:t>
      </w:r>
    </w:p>
    <w:p>
      <w:pPr>
        <w:pStyle w:val="2"/>
        <w:keepNext w:val="0"/>
        <w:keepLines w:val="0"/>
        <w:widowControl/>
        <w:suppressLineNumbers w:val="0"/>
        <w:spacing w:line="315" w:lineRule="atLeast"/>
        <w:ind w:left="0" w:firstLine="420"/>
        <w:rPr>
          <w:rFonts w:ascii="sans-serif" w:hAnsi="sans-serif" w:eastAsia="sans-serif" w:cs="sans-serif"/>
          <w:i w:val="0"/>
          <w:caps w:val="0"/>
          <w:color w:val="000000"/>
          <w:spacing w:val="0"/>
          <w:sz w:val="27"/>
          <w:szCs w:val="27"/>
        </w:rPr>
      </w:pPr>
      <w:r>
        <w:rPr>
          <w:rFonts w:hint="default" w:ascii="Arial" w:hAnsi="Arial" w:cs="Arial"/>
          <w:i w:val="0"/>
          <w:caps w:val="0"/>
          <w:color w:val="000000"/>
          <w:spacing w:val="0"/>
          <w:sz w:val="28"/>
          <w:szCs w:val="28"/>
        </w:rPr>
        <w:t>二、主动公开政府信息情况</w:t>
      </w:r>
    </w:p>
    <w:tbl>
      <w:tblPr>
        <w:tblW w:w="1021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3056"/>
        <w:gridCol w:w="643"/>
        <w:gridCol w:w="1600"/>
        <w:gridCol w:w="1152"/>
        <w:gridCol w:w="1179"/>
        <w:gridCol w:w="2278"/>
        <w:gridCol w:w="307"/>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90" w:hRule="atLeast"/>
          <w:jc w:val="center"/>
        </w:trPr>
        <w:tc>
          <w:tcPr>
            <w:tcW w:w="1021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ascii="仿宋" w:hAnsi="仿宋" w:eastAsia="仿宋" w:cs="仿宋"/>
                <w:sz w:val="28"/>
                <w:szCs w:val="28"/>
                <w:bdr w:val="none" w:color="auto" w:sz="0" w:space="0"/>
              </w:rPr>
              <w:t>第二十一条第（一）项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90"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信息内容</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本年新制作数量</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本年新公开数量</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对外公开总数量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300"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规章</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28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规范性文件</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429</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220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429</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35" w:hRule="atLeast"/>
          <w:jc w:val="center"/>
        </w:trPr>
        <w:tc>
          <w:tcPr>
            <w:tcW w:w="1021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第二十条第（五）项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6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信息内容</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上一年项目数量</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本年增/减</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31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行政许可</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399</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135</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82001</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9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其他对外管理服务事项</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3238</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-110</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200214</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225" w:hRule="atLeast"/>
          <w:jc w:val="center"/>
        </w:trPr>
        <w:tc>
          <w:tcPr>
            <w:tcW w:w="1021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第二十条第（六）项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信息内容</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上一年项目数量</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本年增/减</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9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行政处罚</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2695</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-318</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167894</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135" w:hRule="atLeast"/>
          <w:jc w:val="center"/>
        </w:trPr>
        <w:tc>
          <w:tcPr>
            <w:tcW w:w="31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31"/>
                <w:szCs w:val="31"/>
                <w:bdr w:val="none" w:color="auto" w:sz="0" w:space="0"/>
              </w:rPr>
              <w:t>行政强制</w:t>
            </w:r>
          </w:p>
        </w:tc>
        <w:tc>
          <w:tcPr>
            <w:tcW w:w="23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266</w:t>
            </w:r>
          </w:p>
        </w:tc>
        <w:tc>
          <w:tcPr>
            <w:tcW w:w="240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-158</w:t>
            </w:r>
          </w:p>
        </w:tc>
        <w:tc>
          <w:tcPr>
            <w:tcW w:w="235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8125</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jc w:val="center"/>
        </w:trPr>
        <w:tc>
          <w:tcPr>
            <w:tcW w:w="10215"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第二十条第（八）项</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8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信息内容</w:t>
            </w:r>
          </w:p>
        </w:tc>
        <w:tc>
          <w:tcPr>
            <w:tcW w:w="28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上一年项目数量</w:t>
            </w:r>
          </w:p>
        </w:tc>
        <w:tc>
          <w:tcPr>
            <w:tcW w:w="35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本年增/减</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8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行政事业性收费</w:t>
            </w:r>
          </w:p>
        </w:tc>
        <w:tc>
          <w:tcPr>
            <w:tcW w:w="28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73</w:t>
            </w:r>
          </w:p>
        </w:tc>
        <w:tc>
          <w:tcPr>
            <w:tcW w:w="35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1</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10215"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第二十条第（九）项</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8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信息内容</w:t>
            </w:r>
          </w:p>
        </w:tc>
        <w:tc>
          <w:tcPr>
            <w:tcW w:w="28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采购项目数量</w:t>
            </w:r>
          </w:p>
        </w:tc>
        <w:tc>
          <w:tcPr>
            <w:tcW w:w="35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采购总金额</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81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政府集中采购</w:t>
            </w:r>
          </w:p>
        </w:tc>
        <w:tc>
          <w:tcPr>
            <w:tcW w:w="28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291</w:t>
            </w:r>
          </w:p>
        </w:tc>
        <w:tc>
          <w:tcPr>
            <w:tcW w:w="3570"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15082.9万元</w:t>
            </w:r>
          </w:p>
        </w:tc>
        <w:tc>
          <w:tcPr>
            <w:tcW w:w="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jc w:val="left"/>
            </w:pPr>
          </w:p>
        </w:tc>
      </w:tr>
    </w:tbl>
    <w:p>
      <w:pPr>
        <w:pStyle w:val="2"/>
        <w:keepNext w:val="0"/>
        <w:keepLines w:val="0"/>
        <w:widowControl/>
        <w:suppressLineNumbers w:val="0"/>
        <w:spacing w:line="315" w:lineRule="atLeast"/>
        <w:ind w:left="0" w:firstLine="0"/>
        <w:rPr>
          <w:rFonts w:hint="default" w:ascii="sans-serif" w:hAnsi="sans-serif" w:eastAsia="sans-serif" w:cs="sans-serif"/>
          <w:i w:val="0"/>
          <w:caps w:val="0"/>
          <w:color w:val="000000"/>
          <w:spacing w:val="0"/>
          <w:sz w:val="27"/>
          <w:szCs w:val="27"/>
        </w:rPr>
      </w:pPr>
      <w:bookmarkStart w:id="0" w:name="_GoBack"/>
      <w:bookmarkEnd w:id="0"/>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三、收到和处理政府信息公开申请情况</w:t>
      </w:r>
    </w:p>
    <w:tbl>
      <w:tblPr>
        <w:tblW w:w="10320"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1473"/>
        <w:gridCol w:w="1194"/>
        <w:gridCol w:w="2180"/>
        <w:gridCol w:w="948"/>
        <w:gridCol w:w="764"/>
        <w:gridCol w:w="778"/>
        <w:gridCol w:w="778"/>
        <w:gridCol w:w="793"/>
        <w:gridCol w:w="730"/>
        <w:gridCol w:w="682"/>
      </w:tblGrid>
      <w:tr>
        <w:tblPrEx>
          <w:shd w:val="clear"/>
          <w:tblCellMar>
            <w:top w:w="75" w:type="dxa"/>
            <w:left w:w="150" w:type="dxa"/>
            <w:bottom w:w="75" w:type="dxa"/>
            <w:right w:w="150" w:type="dxa"/>
          </w:tblCellMar>
        </w:tblPrEx>
        <w:trPr>
          <w:trHeight w:val="495"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（本列数据的勾稽关系为：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第一项加第三项之和，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等于第三项加第四项之和）</w:t>
            </w:r>
          </w:p>
        </w:tc>
        <w:tc>
          <w:tcPr>
            <w:tcW w:w="538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申请人情况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55"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120" w:right="120" w:firstLine="0"/>
              <w:jc w:val="center"/>
            </w:pPr>
            <w:r>
              <w:rPr>
                <w:rFonts w:hint="eastAsia" w:ascii="仿宋" w:hAnsi="仿宋" w:eastAsia="仿宋" w:cs="仿宋"/>
                <w:sz w:val="28"/>
                <w:szCs w:val="28"/>
                <w:bdr w:val="none" w:color="auto" w:sz="0" w:space="0"/>
              </w:rPr>
              <w:t>自  然  人</w:t>
            </w:r>
          </w:p>
        </w:tc>
        <w:tc>
          <w:tcPr>
            <w:tcW w:w="384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法人或其他组织</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1395"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120" w:right="120" w:firstLine="0"/>
            </w:pPr>
            <w:r>
              <w:rPr>
                <w:rFonts w:hint="eastAsia" w:ascii="仿宋" w:hAnsi="仿宋" w:eastAsia="仿宋" w:cs="仿宋"/>
                <w:sz w:val="28"/>
                <w:szCs w:val="28"/>
                <w:bdr w:val="none" w:color="auto" w:sz="0" w:space="0"/>
              </w:rPr>
              <w:t>商业企业</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120" w:right="120" w:firstLine="0"/>
            </w:pPr>
            <w:r>
              <w:rPr>
                <w:rFonts w:hint="eastAsia" w:ascii="仿宋" w:hAnsi="仿宋" w:eastAsia="仿宋" w:cs="仿宋"/>
                <w:sz w:val="28"/>
                <w:szCs w:val="28"/>
                <w:bdr w:val="none" w:color="auto" w:sz="0" w:space="0"/>
              </w:rPr>
              <w:t>科研机构</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120" w:right="120" w:firstLine="0"/>
            </w:pPr>
            <w:r>
              <w:rPr>
                <w:rFonts w:hint="eastAsia" w:ascii="仿宋" w:hAnsi="仿宋" w:eastAsia="仿宋" w:cs="仿宋"/>
                <w:sz w:val="28"/>
                <w:szCs w:val="28"/>
                <w:bdr w:val="none" w:color="auto" w:sz="0" w:space="0"/>
              </w:rPr>
              <w:t>社会公益组织</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120" w:right="120" w:firstLine="0"/>
            </w:pPr>
            <w:r>
              <w:rPr>
                <w:rFonts w:hint="eastAsia" w:ascii="仿宋" w:hAnsi="仿宋" w:eastAsia="仿宋" w:cs="仿宋"/>
                <w:sz w:val="28"/>
                <w:szCs w:val="28"/>
                <w:bdr w:val="none" w:color="auto" w:sz="0" w:space="0"/>
              </w:rPr>
              <w:t>法律服务机构</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120" w:right="120" w:firstLine="0"/>
              <w:jc w:val="center"/>
            </w:pPr>
            <w:r>
              <w:rPr>
                <w:rFonts w:hint="eastAsia" w:ascii="仿宋" w:hAnsi="仿宋" w:eastAsia="仿宋" w:cs="仿宋"/>
                <w:sz w:val="28"/>
                <w:szCs w:val="28"/>
                <w:bdr w:val="none" w:color="auto" w:sz="0" w:space="0"/>
              </w:rPr>
              <w:t>其 他</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180"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一、本年新手政府信息公开申请数量</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6</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6</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375"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二、上年结转政府信息公开申请数量</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shd w:val="clear"/>
          <w:tblCellMar>
            <w:top w:w="75" w:type="dxa"/>
            <w:left w:w="150" w:type="dxa"/>
            <w:bottom w:w="75" w:type="dxa"/>
            <w:right w:w="150" w:type="dxa"/>
          </w:tblCellMar>
        </w:tblPrEx>
        <w:trPr>
          <w:trHeight w:val="30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三、本年度办理结果</w:t>
            </w:r>
          </w:p>
        </w:tc>
        <w:tc>
          <w:tcPr>
            <w:tcW w:w="34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（一）予以公开</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3</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26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4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（二）部分公开（区分处理的，只计这一情形，不计其他情形）</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5</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60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（三）不予公开</w:t>
            </w: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1.属于国家秘密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CellMar>
            <w:top w:w="75" w:type="dxa"/>
            <w:left w:w="150" w:type="dxa"/>
            <w:bottom w:w="75" w:type="dxa"/>
            <w:right w:w="150" w:type="dxa"/>
          </w:tblCellMar>
        </w:tblPrEx>
        <w:trPr>
          <w:trHeight w:val="105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2.其他法律行政法规禁止公开</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72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3.危及“三安全一稳定”</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825"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4.保护第三方合法权益</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05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5.属于三类内部事务信息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75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6.属于四类过程性信息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72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7.属于行政执法案卷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CellMar>
            <w:top w:w="75" w:type="dxa"/>
            <w:left w:w="150" w:type="dxa"/>
            <w:bottom w:w="75" w:type="dxa"/>
            <w:right w:w="150" w:type="dxa"/>
          </w:tblCellMar>
        </w:tblPrEx>
        <w:trPr>
          <w:trHeight w:val="705"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8.属于行政查询事项</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93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（四）无法提供</w:t>
            </w: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1.本机关不掌握相关政府信息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1</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05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2.没有现成信息需要另行制作</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975"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3.补正后申请内容仍不明确</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72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（五）不予处理</w:t>
            </w: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1.信访举报投诉类申请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95"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2.重复申请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shd w:val="clear"/>
          <w:tblCellMar>
            <w:top w:w="75" w:type="dxa"/>
            <w:left w:w="150" w:type="dxa"/>
            <w:bottom w:w="75" w:type="dxa"/>
            <w:right w:w="150" w:type="dxa"/>
          </w:tblCellMar>
        </w:tblPrEx>
        <w:trPr>
          <w:trHeight w:val="60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3.要求提供出版物</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1005"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4.无正当理由大量反复申请</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1335"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12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22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5.要求行政机关确认或重新出具已获取信息</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CellMar>
            <w:top w:w="75" w:type="dxa"/>
            <w:left w:w="150" w:type="dxa"/>
            <w:bottom w:w="75" w:type="dxa"/>
            <w:right w:w="150" w:type="dxa"/>
          </w:tblCellMar>
        </w:tblPrEx>
        <w:trPr>
          <w:trHeight w:val="51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4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（六）其他处理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10" w:hRule="atLeast"/>
          <w:jc w:val="center"/>
        </w:trPr>
        <w:tc>
          <w:tcPr>
            <w:tcW w:w="15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3435"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（七）其他</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510" w:hRule="atLeast"/>
          <w:jc w:val="center"/>
        </w:trPr>
        <w:tc>
          <w:tcPr>
            <w:tcW w:w="4935" w:type="dxa"/>
            <w:gridSpan w:val="3"/>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both"/>
            </w:pPr>
            <w:r>
              <w:rPr>
                <w:rFonts w:hint="eastAsia" w:ascii="仿宋" w:hAnsi="仿宋" w:eastAsia="仿宋" w:cs="仿宋"/>
                <w:sz w:val="28"/>
                <w:szCs w:val="28"/>
                <w:bdr w:val="none" w:color="auto" w:sz="0" w:space="0"/>
              </w:rPr>
              <w:t>四、结转下年度继续办理</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0"/>
              <w:jc w:val="center"/>
            </w:pPr>
            <w:r>
              <w:rPr>
                <w:rFonts w:hint="eastAsia" w:ascii="仿宋" w:hAnsi="仿宋" w:eastAsia="仿宋" w:cs="仿宋"/>
                <w:sz w:val="28"/>
                <w:szCs w:val="28"/>
                <w:bdr w:val="none" w:color="auto" w:sz="0" w:space="0"/>
              </w:rPr>
              <w:t>0</w:t>
            </w:r>
          </w:p>
        </w:tc>
        <w:tc>
          <w:tcPr>
            <w:tcW w:w="6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28"/>
                <w:szCs w:val="28"/>
                <w:bdr w:val="none" w:color="auto" w:sz="0" w:space="0"/>
              </w:rPr>
              <w:t>0</w:t>
            </w:r>
          </w:p>
        </w:tc>
      </w:tr>
    </w:tbl>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四、政府信息公开行政复议、行政诉讼情况</w:t>
      </w:r>
    </w:p>
    <w:tbl>
      <w:tblPr>
        <w:tblW w:w="1045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75" w:type="dxa"/>
          <w:left w:w="150" w:type="dxa"/>
          <w:bottom w:w="75" w:type="dxa"/>
          <w:right w:w="150" w:type="dxa"/>
        </w:tblCellMar>
      </w:tblPr>
      <w:tblGrid>
        <w:gridCol w:w="833"/>
        <w:gridCol w:w="833"/>
        <w:gridCol w:w="833"/>
        <w:gridCol w:w="834"/>
        <w:gridCol w:w="838"/>
        <w:gridCol w:w="628"/>
        <w:gridCol w:w="628"/>
        <w:gridCol w:w="628"/>
        <w:gridCol w:w="628"/>
        <w:gridCol w:w="630"/>
        <w:gridCol w:w="628"/>
        <w:gridCol w:w="628"/>
        <w:gridCol w:w="628"/>
        <w:gridCol w:w="628"/>
        <w:gridCol w:w="63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465" w:hRule="atLeast"/>
          <w:jc w:val="center"/>
        </w:trPr>
        <w:tc>
          <w:tcPr>
            <w:tcW w:w="420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pPr>
            <w:r>
              <w:rPr>
                <w:rFonts w:hint="eastAsia" w:ascii="仿宋" w:hAnsi="仿宋" w:eastAsia="仿宋" w:cs="仿宋"/>
                <w:sz w:val="31"/>
                <w:szCs w:val="31"/>
                <w:bdr w:val="none" w:color="auto" w:sz="0" w:space="0"/>
              </w:rPr>
              <w:t>行政复议</w:t>
            </w:r>
          </w:p>
        </w:tc>
        <w:tc>
          <w:tcPr>
            <w:tcW w:w="6255" w:type="dxa"/>
            <w:gridSpan w:val="10"/>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pPr>
            <w:r>
              <w:rPr>
                <w:rFonts w:hint="eastAsia" w:ascii="仿宋" w:hAnsi="仿宋" w:eastAsia="仿宋" w:cs="仿宋"/>
                <w:sz w:val="31"/>
                <w:szCs w:val="31"/>
                <w:bdr w:val="none" w:color="auto" w:sz="0" w:space="0"/>
              </w:rPr>
              <w:t>行政诉讼</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80" w:hRule="atLeast"/>
          <w:jc w:val="center"/>
        </w:trPr>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结果维持</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结果纠正</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其他结果</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尚未审结</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总  计</w:t>
            </w:r>
          </w:p>
        </w:tc>
        <w:tc>
          <w:tcPr>
            <w:tcW w:w="312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pPr>
            <w:r>
              <w:rPr>
                <w:rFonts w:hint="eastAsia" w:ascii="仿宋" w:hAnsi="仿宋" w:eastAsia="仿宋" w:cs="仿宋"/>
                <w:sz w:val="31"/>
                <w:szCs w:val="31"/>
                <w:bdr w:val="none" w:color="auto" w:sz="0" w:space="0"/>
              </w:rPr>
              <w:t>未经复议直接起诉</w:t>
            </w:r>
          </w:p>
        </w:tc>
        <w:tc>
          <w:tcPr>
            <w:tcW w:w="313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pPr>
            <w:r>
              <w:rPr>
                <w:rFonts w:hint="eastAsia" w:ascii="仿宋" w:hAnsi="仿宋" w:eastAsia="仿宋" w:cs="仿宋"/>
                <w:sz w:val="31"/>
                <w:szCs w:val="31"/>
                <w:bdr w:val="none" w:color="auto" w:sz="0" w:space="0"/>
              </w:rPr>
              <w:t>复议后起诉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1725" w:hRule="atLeast"/>
          <w:jc w:val="center"/>
        </w:trPr>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keepNext w:val="0"/>
              <w:keepLines w:val="0"/>
              <w:widowControl/>
              <w:suppressLineNumbers w:val="0"/>
              <w:wordWrap w:val="0"/>
              <w:jc w:val="left"/>
            </w:pP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结果维持</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结果纠正</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其他结果</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尚未审结</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 总计</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结果维持</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结果纠正</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其他结果</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尚未审结</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 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75" w:type="dxa"/>
            <w:left w:w="150" w:type="dxa"/>
            <w:bottom w:w="75" w:type="dxa"/>
            <w:right w:w="150" w:type="dxa"/>
          </w:tblCellMar>
        </w:tblPrEx>
        <w:trPr>
          <w:trHeight w:val="255" w:hRule="atLeast"/>
          <w:jc w:val="center"/>
        </w:trPr>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0</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w:t>
            </w:r>
          </w:p>
        </w:tc>
        <w:tc>
          <w:tcPr>
            <w:tcW w:w="8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3</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2</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8</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center"/>
            </w:pPr>
            <w:r>
              <w:rPr>
                <w:rFonts w:hint="eastAsia" w:ascii="仿宋" w:hAnsi="仿宋" w:eastAsia="仿宋" w:cs="仿宋"/>
                <w:sz w:val="31"/>
                <w:szCs w:val="31"/>
                <w:bdr w:val="none" w:color="auto" w:sz="0" w:space="0"/>
              </w:rPr>
              <w:t>10</w:t>
            </w:r>
          </w:p>
        </w:tc>
      </w:tr>
    </w:tbl>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五、存在的主要问题及改进情况</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2019年，我市政府信息公开工作取得了一定的成绩，但是跟此项工作表现突出的县市仍有一定的差距，一是部分信息公开不及时，内容不健全；二是重点领域公开力度不够。下一步，我市主要从以下几个方面改进：</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一是加强学习，不断提高信息公开的思想认识和高度，明确责任，细化分工，及时、准确、规范公开各类信息；</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是进一步明确职责分工，完善工作机制，不断创新工作方式方法，突出重点，注重实效，加强信息公开工作力度，使信息公开业务更加有序、便民、高效，确保广大人民群众的知情权、参与权、表达权和监督权。加强监督考核，确保工作落到实处。</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三是扩展公开范围。对照《条例》的具体要求，认真清理政府信息公开事项，查漏补缺，修订信息公开指南和目录，确保应公开的政务信息全部公开。依据有关法律、法规严格审核公开内容，确保政府信息公开不影响国家安全、公共安全、经济安全和社会稳定，真正体现公开、公平、公正。</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四是建立信息公开长效工作机制，完善政府信息公开内容审查和更新维护等工作制度，确保政府信息公开工作制度化、规范化，进一步深入、持续、高效地开展政府信息公开工作。</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六、其他需要报告的事项</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是全面加强公共资源领域配置领域信息公开。2019年度大冶市公共资源交易信息网共发布公共资源交易信息1667条；建设工程类信息415条，其中招标公告109条，变更公告149条，中标候选人公示88条，中标公告69条；政府采购类信息1184条，采购公告498条，变更公告273条，结果公告413条；国土交易类信息 68条，其中建设用地挂牌出让公告35条，澄清公告4条，挂牌结果公示29条。</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二是加强人大建议和政协提案信息公开。受理人大代表建议、政协委员提案共168件，已解决及正在解决159件，占94.6%，因条件限制或其他原因暂时无法解决9件，占5.4%。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C1138"/>
    <w:rsid w:val="465C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2020-07-13T04:44:00Z</dcterms:created>
  <dc:creator>李成</dc:creator>
  <cp:lastModifiedBy>李成</cp:lastModifiedBy>
  <dcterms:modified xsi:type="dcterms:W3CDTF">2020-07-13T04:45:56Z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