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420"/>
        <w:rPr>
          <w:rFonts w:ascii="Arial" w:hAnsi="Arial" w:cs="Arial"/>
          <w:i w:val="0"/>
          <w:caps w:val="0"/>
          <w:color w:val="000000"/>
          <w:spacing w:val="0"/>
          <w:sz w:val="28"/>
          <w:szCs w:val="28"/>
        </w:rPr>
      </w:pPr>
      <w:r>
        <w:rPr>
          <w:rFonts w:hint="default" w:ascii="Arial" w:hAnsi="Arial" w:cs="Arial"/>
          <w:i w:val="0"/>
          <w:caps w:val="0"/>
          <w:color w:val="000000"/>
          <w:spacing w:val="0"/>
          <w:sz w:val="28"/>
          <w:szCs w:val="28"/>
        </w:rPr>
        <w:t>根据《中华人民共和国政府信息公开条例》，特向社会公布市委统战部2019年度信息公开年度工作报告。本报告由总体情况，行政机关主动公开政府信息情况，行政机关收到和处理政府信息公开申请情况，因政府信息公开被申请行政复议、提起行政诉讼情况、政府信息公开工作存在的问题及改进情况等五个部分组成。如对本报告有任何疑问，请与中共市委统战部政府信息公开领导小组办公室联系（联系地址：大冶市湛月路1号市委大楼5楼；邮编：435100；联系人：刘合芬 ；联系电话：0714—8718978 ；QQ：811303412 办公时间： 每周一至周五  上午 8：00-11:30    下午14:30-17:30节假日除外）。</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一、总体情况</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我部严格按照“公正、公平、便民”的总体原则及“及时、准确”的总体要求，认真贯彻落实《中华人民共和国政府信息公开条例》，并把政府信息公开工作作为建设服务政府、透明政府、阳光政府的重要举措，切实推进了全县政府信息公开工作。2019年我们主要开展了以下几个方面工作：</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一）加强组织领导，健全工作机制。我部始终把做好政务信息公开工作列入单位工作议事日程。同时，根据人员变动，及时对局政府信息公开工作领导小组人员进行调整充实。健全领导机制，确保民宗局的政府信息工作顺利开展，现领导小组为：</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主管领导：周晓红</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分管领导：吴洲</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工作人员：张建国、张艳青、吴远照、肖义刚、陈宗平、刘合芬</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联络员：刘合芬 </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二）建立健全相关制度，进一步规范政府信息公开工作。我部注重加强和完善政府信息公开制度建设工作，根据《中华人民共和国政府信息公开条例》等相关制度要求，结合我部工作实际，制定了相关制度并认真执行，同时，结合我部民族宗教工作的特殊性和敏感性，也要严格做好相关资料的保密工作，真正做到“涉密不上网，上网不涉密”，“谁上网，谁负责，谁审批谁负责”的相关要求，进一步保障了民族宗教资料政府信息公开内容的安全性。 </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三）规范内容，提高政务信息质量。为进一步规范政府信息公开内容，提升我局政府信息公开工作水平，主要做法：一是公开的内容更加充实。我局对政务信息公开的范围、政务信息公开的内容、政务信息公开的形式、政务信息公开的制度等作了进一步的明确，按照组织健全、制度严密、标准统一、运作规范的要求,做好政务信息公开内容的补充以及已公开内容的删补。二是公开的时间更加及时。针对公开项目的不同情况，确定公开时间，做到常规性工作定期公开，临时性工作随时公开，固定性工作长期公开。通过政府信息公开网站及时公开单位信息。</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二、主动公开政府信息情况</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我部认真按照省、市相关文件的要求，结合单位实际情况，将政府信息公布在湖北政务服务网上，截止2019年12月31日，湖北政务服务网公开信息37条，公开的内容涉及行政许可、行政确认、行政处罚、行政检查等与人民群众切身利益密切相关的各类信息。 </w:t>
      </w:r>
    </w:p>
    <w:tbl>
      <w:tblPr>
        <w:tblW w:w="10215" w:type="dxa"/>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3055"/>
        <w:gridCol w:w="643"/>
        <w:gridCol w:w="1601"/>
        <w:gridCol w:w="1152"/>
        <w:gridCol w:w="1180"/>
        <w:gridCol w:w="2278"/>
        <w:gridCol w:w="306"/>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65" w:hRule="atLeast"/>
          <w:jc w:val="center"/>
        </w:trPr>
        <w:tc>
          <w:tcPr>
            <w:tcW w:w="10215" w:type="dxa"/>
            <w:gridSpan w:val="7"/>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ascii="仿宋" w:hAnsi="仿宋" w:eastAsia="仿宋" w:cs="仿宋"/>
                <w:sz w:val="22"/>
                <w:szCs w:val="22"/>
                <w:bdr w:val="none" w:color="auto" w:sz="0" w:space="0"/>
              </w:rPr>
              <w:t>第二十一条第（一）项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570" w:hRule="atLeast"/>
          <w:jc w:val="center"/>
        </w:trPr>
        <w:tc>
          <w:tcPr>
            <w:tcW w:w="31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信息内容</w:t>
            </w:r>
          </w:p>
        </w:tc>
        <w:tc>
          <w:tcPr>
            <w:tcW w:w="231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本年新制作数量</w:t>
            </w:r>
          </w:p>
        </w:tc>
        <w:tc>
          <w:tcPr>
            <w:tcW w:w="240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本年新公开数量</w:t>
            </w:r>
          </w:p>
        </w:tc>
        <w:tc>
          <w:tcPr>
            <w:tcW w:w="235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对外公开总数量</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375" w:hRule="atLeast"/>
          <w:jc w:val="center"/>
        </w:trPr>
        <w:tc>
          <w:tcPr>
            <w:tcW w:w="31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 w:hAnsi="仿宋" w:eastAsia="仿宋" w:cs="仿宋"/>
                <w:sz w:val="22"/>
                <w:szCs w:val="22"/>
                <w:bdr w:val="none" w:color="auto" w:sz="0" w:space="0"/>
              </w:rPr>
              <w:t>规章</w:t>
            </w:r>
          </w:p>
        </w:tc>
        <w:tc>
          <w:tcPr>
            <w:tcW w:w="231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0</w:t>
            </w:r>
          </w:p>
        </w:tc>
        <w:tc>
          <w:tcPr>
            <w:tcW w:w="240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0</w:t>
            </w:r>
          </w:p>
        </w:tc>
        <w:tc>
          <w:tcPr>
            <w:tcW w:w="235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375" w:hRule="atLeast"/>
          <w:jc w:val="center"/>
        </w:trPr>
        <w:tc>
          <w:tcPr>
            <w:tcW w:w="31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 w:hAnsi="仿宋" w:eastAsia="仿宋" w:cs="仿宋"/>
                <w:sz w:val="22"/>
                <w:szCs w:val="22"/>
                <w:bdr w:val="none" w:color="auto" w:sz="0" w:space="0"/>
              </w:rPr>
              <w:t>规范性文件</w:t>
            </w:r>
          </w:p>
        </w:tc>
        <w:tc>
          <w:tcPr>
            <w:tcW w:w="231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0</w:t>
            </w:r>
          </w:p>
        </w:tc>
        <w:tc>
          <w:tcPr>
            <w:tcW w:w="240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0</w:t>
            </w:r>
          </w:p>
        </w:tc>
        <w:tc>
          <w:tcPr>
            <w:tcW w:w="235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675" w:hRule="atLeast"/>
          <w:jc w:val="center"/>
        </w:trPr>
        <w:tc>
          <w:tcPr>
            <w:tcW w:w="10215" w:type="dxa"/>
            <w:gridSpan w:val="7"/>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第二十条第（五）项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31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信息内容</w:t>
            </w:r>
          </w:p>
        </w:tc>
        <w:tc>
          <w:tcPr>
            <w:tcW w:w="231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上一年项目数量</w:t>
            </w:r>
          </w:p>
        </w:tc>
        <w:tc>
          <w:tcPr>
            <w:tcW w:w="240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本年增/减</w:t>
            </w:r>
          </w:p>
        </w:tc>
        <w:tc>
          <w:tcPr>
            <w:tcW w:w="235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处理决定数量</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31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 w:hAnsi="仿宋" w:eastAsia="仿宋" w:cs="仿宋"/>
                <w:sz w:val="22"/>
                <w:szCs w:val="22"/>
                <w:bdr w:val="none" w:color="auto" w:sz="0" w:space="0"/>
              </w:rPr>
              <w:t>行政许可</w:t>
            </w:r>
          </w:p>
        </w:tc>
        <w:tc>
          <w:tcPr>
            <w:tcW w:w="231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14</w:t>
            </w:r>
          </w:p>
        </w:tc>
        <w:tc>
          <w:tcPr>
            <w:tcW w:w="240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0</w:t>
            </w:r>
          </w:p>
        </w:tc>
        <w:tc>
          <w:tcPr>
            <w:tcW w:w="235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14</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510" w:hRule="atLeast"/>
          <w:jc w:val="center"/>
        </w:trPr>
        <w:tc>
          <w:tcPr>
            <w:tcW w:w="31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 w:hAnsi="仿宋" w:eastAsia="仿宋" w:cs="仿宋"/>
                <w:sz w:val="22"/>
                <w:szCs w:val="22"/>
                <w:bdr w:val="none" w:color="auto" w:sz="0" w:space="0"/>
              </w:rPr>
              <w:t>其他对外管理服务事项</w:t>
            </w:r>
          </w:p>
        </w:tc>
        <w:tc>
          <w:tcPr>
            <w:tcW w:w="231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23</w:t>
            </w:r>
          </w:p>
        </w:tc>
        <w:tc>
          <w:tcPr>
            <w:tcW w:w="240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0</w:t>
            </w:r>
          </w:p>
        </w:tc>
        <w:tc>
          <w:tcPr>
            <w:tcW w:w="235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23</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600" w:hRule="atLeast"/>
          <w:jc w:val="center"/>
        </w:trPr>
        <w:tc>
          <w:tcPr>
            <w:tcW w:w="10215" w:type="dxa"/>
            <w:gridSpan w:val="7"/>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第二十条第（六）项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435" w:hRule="atLeast"/>
          <w:jc w:val="center"/>
        </w:trPr>
        <w:tc>
          <w:tcPr>
            <w:tcW w:w="31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信息内容</w:t>
            </w:r>
          </w:p>
        </w:tc>
        <w:tc>
          <w:tcPr>
            <w:tcW w:w="231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上一年项目数量</w:t>
            </w:r>
          </w:p>
        </w:tc>
        <w:tc>
          <w:tcPr>
            <w:tcW w:w="240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本年增/减</w:t>
            </w:r>
          </w:p>
        </w:tc>
        <w:tc>
          <w:tcPr>
            <w:tcW w:w="235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处理决定数量</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360" w:hRule="atLeast"/>
          <w:jc w:val="center"/>
        </w:trPr>
        <w:tc>
          <w:tcPr>
            <w:tcW w:w="31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 w:hAnsi="仿宋" w:eastAsia="仿宋" w:cs="仿宋"/>
                <w:sz w:val="22"/>
                <w:szCs w:val="22"/>
                <w:bdr w:val="none" w:color="auto" w:sz="0" w:space="0"/>
              </w:rPr>
              <w:t>行政处罚</w:t>
            </w:r>
          </w:p>
        </w:tc>
        <w:tc>
          <w:tcPr>
            <w:tcW w:w="231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0</w:t>
            </w:r>
          </w:p>
        </w:tc>
        <w:tc>
          <w:tcPr>
            <w:tcW w:w="240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0</w:t>
            </w:r>
          </w:p>
        </w:tc>
        <w:tc>
          <w:tcPr>
            <w:tcW w:w="235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35" w:hRule="atLeast"/>
          <w:jc w:val="center"/>
        </w:trPr>
        <w:tc>
          <w:tcPr>
            <w:tcW w:w="31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 w:hAnsi="仿宋" w:eastAsia="仿宋" w:cs="仿宋"/>
                <w:sz w:val="22"/>
                <w:szCs w:val="22"/>
                <w:bdr w:val="none" w:color="auto" w:sz="0" w:space="0"/>
              </w:rPr>
              <w:t>行政强制</w:t>
            </w:r>
          </w:p>
        </w:tc>
        <w:tc>
          <w:tcPr>
            <w:tcW w:w="231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0</w:t>
            </w:r>
          </w:p>
        </w:tc>
        <w:tc>
          <w:tcPr>
            <w:tcW w:w="240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0</w:t>
            </w:r>
          </w:p>
        </w:tc>
        <w:tc>
          <w:tcPr>
            <w:tcW w:w="235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450" w:hRule="atLeast"/>
          <w:jc w:val="center"/>
        </w:trPr>
        <w:tc>
          <w:tcPr>
            <w:tcW w:w="10215" w:type="dxa"/>
            <w:gridSpan w:val="6"/>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第二十条第（八）项</w:t>
            </w:r>
          </w:p>
        </w:tc>
        <w:tc>
          <w:tcPr>
            <w:tcW w:w="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81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信息内容</w:t>
            </w:r>
          </w:p>
        </w:tc>
        <w:tc>
          <w:tcPr>
            <w:tcW w:w="283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上一年项目数量</w:t>
            </w:r>
          </w:p>
        </w:tc>
        <w:tc>
          <w:tcPr>
            <w:tcW w:w="357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本年增/减</w:t>
            </w:r>
          </w:p>
        </w:tc>
        <w:tc>
          <w:tcPr>
            <w:tcW w:w="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81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 w:hAnsi="仿宋" w:eastAsia="仿宋" w:cs="仿宋"/>
                <w:sz w:val="22"/>
                <w:szCs w:val="22"/>
                <w:bdr w:val="none" w:color="auto" w:sz="0" w:space="0"/>
              </w:rPr>
              <w:t>行政事业性收费</w:t>
            </w:r>
          </w:p>
        </w:tc>
        <w:tc>
          <w:tcPr>
            <w:tcW w:w="283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0</w:t>
            </w:r>
          </w:p>
        </w:tc>
        <w:tc>
          <w:tcPr>
            <w:tcW w:w="357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0</w:t>
            </w:r>
          </w:p>
        </w:tc>
        <w:tc>
          <w:tcPr>
            <w:tcW w:w="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10215" w:type="dxa"/>
            <w:gridSpan w:val="6"/>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第二十条第（九）项</w:t>
            </w:r>
          </w:p>
        </w:tc>
        <w:tc>
          <w:tcPr>
            <w:tcW w:w="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381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信息内容</w:t>
            </w:r>
          </w:p>
        </w:tc>
        <w:tc>
          <w:tcPr>
            <w:tcW w:w="283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采购项目数量</w:t>
            </w:r>
          </w:p>
        </w:tc>
        <w:tc>
          <w:tcPr>
            <w:tcW w:w="357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采购总金额</w:t>
            </w:r>
          </w:p>
        </w:tc>
        <w:tc>
          <w:tcPr>
            <w:tcW w:w="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375" w:hRule="atLeast"/>
          <w:jc w:val="center"/>
        </w:trPr>
        <w:tc>
          <w:tcPr>
            <w:tcW w:w="381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 w:hAnsi="仿宋" w:eastAsia="仿宋" w:cs="仿宋"/>
                <w:sz w:val="22"/>
                <w:szCs w:val="22"/>
                <w:bdr w:val="none" w:color="auto" w:sz="0" w:space="0"/>
              </w:rPr>
              <w:t>政府集中采购</w:t>
            </w:r>
          </w:p>
        </w:tc>
        <w:tc>
          <w:tcPr>
            <w:tcW w:w="283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0</w:t>
            </w:r>
          </w:p>
        </w:tc>
        <w:tc>
          <w:tcPr>
            <w:tcW w:w="357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0</w:t>
            </w:r>
          </w:p>
        </w:tc>
        <w:tc>
          <w:tcPr>
            <w:tcW w:w="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jc w:val="left"/>
            </w:pPr>
          </w:p>
        </w:tc>
      </w:tr>
    </w:tbl>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三、收到和处理政府信息公开申请情况</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截止2019年12月31日，我部收到和处理了0条政府信息公开申请，涉及内容为在宗教活动场所内改建或者新建建筑物的审批、宗教活动场所登记审批宗教活动东场所接受境外组织和个人捐赠审批。</w:t>
      </w:r>
    </w:p>
    <w:tbl>
      <w:tblPr>
        <w:tblW w:w="10320" w:type="dxa"/>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1500"/>
        <w:gridCol w:w="1665"/>
        <w:gridCol w:w="1770"/>
        <w:gridCol w:w="855"/>
        <w:gridCol w:w="765"/>
        <w:gridCol w:w="780"/>
        <w:gridCol w:w="780"/>
        <w:gridCol w:w="795"/>
        <w:gridCol w:w="720"/>
        <w:gridCol w:w="69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330" w:hRule="atLeast"/>
          <w:jc w:val="center"/>
        </w:trPr>
        <w:tc>
          <w:tcPr>
            <w:tcW w:w="4935"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ascii="仿宋_GB2312" w:eastAsia="仿宋_GB2312" w:cs="仿宋_GB2312"/>
                <w:sz w:val="22"/>
                <w:szCs w:val="22"/>
                <w:bdr w:val="none" w:color="auto" w:sz="0" w:space="0"/>
              </w:rPr>
              <w:t>（本列数据的勾稽关系为：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default" w:ascii="仿宋_GB2312" w:eastAsia="仿宋_GB2312" w:cs="仿宋_GB2312"/>
                <w:sz w:val="22"/>
                <w:szCs w:val="22"/>
                <w:bdr w:val="none" w:color="auto" w:sz="0" w:space="0"/>
              </w:rPr>
              <w:t>第一项加第三项之和，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default" w:ascii="仿宋_GB2312" w:eastAsia="仿宋_GB2312" w:cs="仿宋_GB2312"/>
                <w:sz w:val="22"/>
                <w:szCs w:val="22"/>
                <w:bdr w:val="none" w:color="auto" w:sz="0" w:space="0"/>
              </w:rPr>
              <w:t>等于第三项加第四项之和）</w:t>
            </w:r>
          </w:p>
        </w:tc>
        <w:tc>
          <w:tcPr>
            <w:tcW w:w="5385" w:type="dxa"/>
            <w:gridSpan w:val="7"/>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申请人情况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330" w:hRule="atLeast"/>
          <w:jc w:val="center"/>
        </w:trPr>
        <w:tc>
          <w:tcPr>
            <w:tcW w:w="493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120" w:right="120" w:firstLine="0"/>
              <w:jc w:val="center"/>
            </w:pPr>
            <w:r>
              <w:rPr>
                <w:rFonts w:hint="default" w:ascii="仿宋_GB2312" w:eastAsia="仿宋_GB2312" w:cs="仿宋_GB2312"/>
                <w:sz w:val="22"/>
                <w:szCs w:val="22"/>
                <w:bdr w:val="none" w:color="auto" w:sz="0" w:space="0"/>
              </w:rPr>
              <w:t>自  然  人</w:t>
            </w:r>
          </w:p>
        </w:tc>
        <w:tc>
          <w:tcPr>
            <w:tcW w:w="3840"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法人或其他组织</w:t>
            </w:r>
          </w:p>
        </w:tc>
        <w:tc>
          <w:tcPr>
            <w:tcW w:w="69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总计</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1155" w:hRule="atLeast"/>
          <w:jc w:val="center"/>
        </w:trPr>
        <w:tc>
          <w:tcPr>
            <w:tcW w:w="493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firstLine="0"/>
            </w:pPr>
            <w:r>
              <w:rPr>
                <w:rFonts w:hint="default" w:ascii="仿宋_GB2312" w:eastAsia="仿宋_GB2312" w:cs="仿宋_GB2312"/>
                <w:sz w:val="22"/>
                <w:szCs w:val="22"/>
                <w:bdr w:val="none" w:color="auto" w:sz="0" w:space="0"/>
              </w:rPr>
              <w:t>商业企业</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firstLine="0"/>
            </w:pPr>
            <w:r>
              <w:rPr>
                <w:rFonts w:hint="default" w:ascii="仿宋_GB2312" w:eastAsia="仿宋_GB2312" w:cs="仿宋_GB2312"/>
                <w:sz w:val="22"/>
                <w:szCs w:val="22"/>
                <w:bdr w:val="none" w:color="auto" w:sz="0" w:space="0"/>
              </w:rPr>
              <w:t>科研机构</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firstLine="0"/>
            </w:pPr>
            <w:r>
              <w:rPr>
                <w:rFonts w:hint="default" w:ascii="仿宋_GB2312" w:eastAsia="仿宋_GB2312" w:cs="仿宋_GB2312"/>
                <w:sz w:val="22"/>
                <w:szCs w:val="22"/>
                <w:bdr w:val="none" w:color="auto" w:sz="0" w:space="0"/>
              </w:rPr>
              <w:t>社会公益组织</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firstLine="0"/>
            </w:pPr>
            <w:r>
              <w:rPr>
                <w:rFonts w:hint="default" w:ascii="仿宋_GB2312" w:eastAsia="仿宋_GB2312" w:cs="仿宋_GB2312"/>
                <w:sz w:val="22"/>
                <w:szCs w:val="22"/>
                <w:bdr w:val="none" w:color="auto" w:sz="0" w:space="0"/>
              </w:rPr>
              <w:t>法律服务机构</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firstLine="0"/>
              <w:jc w:val="center"/>
            </w:pPr>
            <w:r>
              <w:rPr>
                <w:rFonts w:hint="default" w:ascii="仿宋_GB2312" w:eastAsia="仿宋_GB2312" w:cs="仿宋_GB2312"/>
                <w:sz w:val="22"/>
                <w:szCs w:val="22"/>
                <w:bdr w:val="none" w:color="auto" w:sz="0" w:space="0"/>
              </w:rPr>
              <w:t>其 他</w:t>
            </w:r>
          </w:p>
        </w:tc>
        <w:tc>
          <w:tcPr>
            <w:tcW w:w="69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493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default" w:ascii="仿宋_GB2312" w:eastAsia="仿宋_GB2312" w:cs="仿宋_GB2312"/>
                <w:sz w:val="22"/>
                <w:szCs w:val="22"/>
                <w:bdr w:val="none" w:color="auto" w:sz="0" w:space="0"/>
              </w:rPr>
              <w:t>一、本年新收政府信息公开申请数量</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95" w:hRule="atLeast"/>
          <w:jc w:val="center"/>
        </w:trPr>
        <w:tc>
          <w:tcPr>
            <w:tcW w:w="493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default" w:ascii="仿宋_GB2312" w:eastAsia="仿宋_GB2312" w:cs="仿宋_GB2312"/>
                <w:sz w:val="22"/>
                <w:szCs w:val="22"/>
                <w:bdr w:val="none" w:color="auto" w:sz="0" w:space="0"/>
              </w:rPr>
              <w:t>二、上年结转政府信息公开申请数量</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360" w:hRule="atLeast"/>
          <w:jc w:val="center"/>
        </w:trPr>
        <w:tc>
          <w:tcPr>
            <w:tcW w:w="150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三、本年度办理结果</w:t>
            </w:r>
          </w:p>
        </w:tc>
        <w:tc>
          <w:tcPr>
            <w:tcW w:w="343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（一）予以公开</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825" w:hRule="atLeast"/>
          <w:jc w:val="center"/>
        </w:trPr>
        <w:tc>
          <w:tcPr>
            <w:tcW w:w="15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43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（二）部分公开（区分处理的，只计这一情形，不计其他情形）</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80" w:hRule="atLeast"/>
          <w:jc w:val="center"/>
        </w:trPr>
        <w:tc>
          <w:tcPr>
            <w:tcW w:w="15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6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（三）不予公开</w:t>
            </w:r>
          </w:p>
        </w:tc>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1.属于国家秘密</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840" w:hRule="atLeast"/>
          <w:jc w:val="center"/>
        </w:trPr>
        <w:tc>
          <w:tcPr>
            <w:tcW w:w="15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2.其他法律行政法规禁止公开</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720" w:hRule="atLeast"/>
          <w:jc w:val="center"/>
        </w:trPr>
        <w:tc>
          <w:tcPr>
            <w:tcW w:w="15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3.危及“三安全一稳定”</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825" w:hRule="atLeast"/>
          <w:jc w:val="center"/>
        </w:trPr>
        <w:tc>
          <w:tcPr>
            <w:tcW w:w="15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4.保护第三方合法权益</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840" w:hRule="atLeast"/>
          <w:jc w:val="center"/>
        </w:trPr>
        <w:tc>
          <w:tcPr>
            <w:tcW w:w="15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5.属于三类内部事务信息</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750" w:hRule="atLeast"/>
          <w:jc w:val="center"/>
        </w:trPr>
        <w:tc>
          <w:tcPr>
            <w:tcW w:w="15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6.属于四类过程性信息</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720" w:hRule="atLeast"/>
          <w:jc w:val="center"/>
        </w:trPr>
        <w:tc>
          <w:tcPr>
            <w:tcW w:w="15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7.属于行政执法案卷</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705" w:hRule="atLeast"/>
          <w:jc w:val="center"/>
        </w:trPr>
        <w:tc>
          <w:tcPr>
            <w:tcW w:w="15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8.属于行政查询事项</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PrEx>
        <w:trPr>
          <w:trHeight w:val="855" w:hRule="atLeast"/>
          <w:jc w:val="center"/>
        </w:trPr>
        <w:tc>
          <w:tcPr>
            <w:tcW w:w="15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6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（四）无法提供</w:t>
            </w:r>
          </w:p>
        </w:tc>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1.本机关不掌握相关政府信息</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855" w:hRule="atLeast"/>
          <w:jc w:val="center"/>
        </w:trPr>
        <w:tc>
          <w:tcPr>
            <w:tcW w:w="15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2.没有现成信息需要另行制作</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810" w:hRule="atLeast"/>
          <w:jc w:val="center"/>
        </w:trPr>
        <w:tc>
          <w:tcPr>
            <w:tcW w:w="15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3.补正后申请内容仍不明确</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720" w:hRule="atLeast"/>
          <w:jc w:val="center"/>
        </w:trPr>
        <w:tc>
          <w:tcPr>
            <w:tcW w:w="15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6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（五）不予处理</w:t>
            </w:r>
          </w:p>
        </w:tc>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1.信访举报投诉类申请</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95" w:hRule="atLeast"/>
          <w:jc w:val="center"/>
        </w:trPr>
        <w:tc>
          <w:tcPr>
            <w:tcW w:w="15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2.重复申请</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600" w:hRule="atLeast"/>
          <w:jc w:val="center"/>
        </w:trPr>
        <w:tc>
          <w:tcPr>
            <w:tcW w:w="15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3.要求提供出版物</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705" w:hRule="atLeast"/>
          <w:jc w:val="center"/>
        </w:trPr>
        <w:tc>
          <w:tcPr>
            <w:tcW w:w="15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4.无正当理由大量反复申请</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1335" w:hRule="atLeast"/>
          <w:jc w:val="center"/>
        </w:trPr>
        <w:tc>
          <w:tcPr>
            <w:tcW w:w="15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5.要求行政机关确认或重新出具已获取信息</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15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43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（六）其他处理</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15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43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（七）其他</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493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default" w:ascii="仿宋_GB2312" w:eastAsia="仿宋_GB2312" w:cs="仿宋_GB2312"/>
                <w:sz w:val="22"/>
                <w:szCs w:val="22"/>
                <w:bdr w:val="none" w:color="auto" w:sz="0" w:space="0"/>
              </w:rPr>
              <w:t>四、结转下年度继续办理</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仿宋_GB2312" w:eastAsia="仿宋_GB2312" w:cs="仿宋_GB2312"/>
                <w:sz w:val="22"/>
                <w:szCs w:val="22"/>
                <w:bdr w:val="none" w:color="auto" w:sz="0" w:space="0"/>
              </w:rPr>
              <w:t>0</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2"/>
                <w:szCs w:val="22"/>
                <w:bdr w:val="none" w:color="auto" w:sz="0" w:space="0"/>
              </w:rPr>
              <w:t>0</w:t>
            </w:r>
          </w:p>
        </w:tc>
      </w:tr>
    </w:tbl>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四、政府信息公开行政复议、行政诉讼情况</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截止2019年12月31日，我部未收到过公开申请，亦未发生由政府信息公开引发的举报、投诉、行政复议和行政诉讼。 </w:t>
      </w:r>
    </w:p>
    <w:tbl>
      <w:tblPr>
        <w:tblW w:w="10455" w:type="dxa"/>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834"/>
        <w:gridCol w:w="834"/>
        <w:gridCol w:w="835"/>
        <w:gridCol w:w="835"/>
        <w:gridCol w:w="837"/>
        <w:gridCol w:w="628"/>
        <w:gridCol w:w="628"/>
        <w:gridCol w:w="628"/>
        <w:gridCol w:w="628"/>
        <w:gridCol w:w="628"/>
        <w:gridCol w:w="628"/>
        <w:gridCol w:w="628"/>
        <w:gridCol w:w="628"/>
        <w:gridCol w:w="628"/>
        <w:gridCol w:w="628"/>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55" w:hRule="atLeast"/>
          <w:jc w:val="center"/>
        </w:trPr>
        <w:tc>
          <w:tcPr>
            <w:tcW w:w="4200"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 w:hAnsi="仿宋" w:eastAsia="仿宋" w:cs="仿宋"/>
                <w:sz w:val="22"/>
                <w:szCs w:val="22"/>
                <w:bdr w:val="none" w:color="auto" w:sz="0" w:space="0"/>
              </w:rPr>
              <w:t>行政复议</w:t>
            </w:r>
          </w:p>
        </w:tc>
        <w:tc>
          <w:tcPr>
            <w:tcW w:w="6255" w:type="dxa"/>
            <w:gridSpan w:val="10"/>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 w:hAnsi="仿宋" w:eastAsia="仿宋" w:cs="仿宋"/>
                <w:sz w:val="22"/>
                <w:szCs w:val="22"/>
                <w:bdr w:val="none" w:color="auto" w:sz="0" w:space="0"/>
              </w:rPr>
              <w:t>行政诉讼</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405" w:hRule="atLeast"/>
          <w:jc w:val="center"/>
        </w:trPr>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结果维持</w:t>
            </w:r>
          </w:p>
        </w:tc>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结果纠正</w:t>
            </w:r>
          </w:p>
        </w:tc>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其他结果</w:t>
            </w:r>
          </w:p>
        </w:tc>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尚未审结</w:t>
            </w:r>
          </w:p>
        </w:tc>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总  计</w:t>
            </w:r>
          </w:p>
        </w:tc>
        <w:tc>
          <w:tcPr>
            <w:tcW w:w="3120"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 w:hAnsi="仿宋" w:eastAsia="仿宋" w:cs="仿宋"/>
                <w:sz w:val="22"/>
                <w:szCs w:val="22"/>
                <w:bdr w:val="none" w:color="auto" w:sz="0" w:space="0"/>
              </w:rPr>
              <w:t>未经复议直接起诉</w:t>
            </w:r>
          </w:p>
        </w:tc>
        <w:tc>
          <w:tcPr>
            <w:tcW w:w="313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 w:hAnsi="仿宋" w:eastAsia="仿宋" w:cs="仿宋"/>
                <w:sz w:val="22"/>
                <w:szCs w:val="22"/>
                <w:bdr w:val="none" w:color="auto" w:sz="0" w:space="0"/>
              </w:rPr>
              <w:t>复议后起诉</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50" w:hRule="atLeast"/>
          <w:jc w:val="center"/>
        </w:trPr>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wordWrap w:val="0"/>
              <w:jc w:val="left"/>
            </w:pPr>
          </w:p>
        </w:tc>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wordWrap w:val="0"/>
              <w:jc w:val="left"/>
            </w:pPr>
          </w:p>
        </w:tc>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wordWrap w:val="0"/>
              <w:jc w:val="left"/>
            </w:pPr>
          </w:p>
        </w:tc>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wordWrap w:val="0"/>
              <w:jc w:val="left"/>
            </w:pP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结果维持</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结果纠正</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其他结果</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尚未审结</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总计</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结果维持</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结果纠正</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其他结果</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尚未审结</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2"/>
                <w:szCs w:val="22"/>
                <w:bdr w:val="none" w:color="auto" w:sz="0" w:space="0"/>
              </w:rPr>
              <w:t>总计</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70" w:hRule="atLeast"/>
          <w:jc w:val="center"/>
        </w:trPr>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bdr w:val="none" w:color="auto" w:sz="0" w:space="0"/>
              </w:rPr>
              <w:t>0</w:t>
            </w:r>
          </w:p>
        </w:tc>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bdr w:val="none" w:color="auto" w:sz="0" w:space="0"/>
              </w:rPr>
              <w:t>0</w:t>
            </w:r>
          </w:p>
        </w:tc>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bdr w:val="none" w:color="auto" w:sz="0" w:space="0"/>
              </w:rPr>
              <w:t>0</w:t>
            </w:r>
          </w:p>
        </w:tc>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bdr w:val="none" w:color="auto" w:sz="0" w:space="0"/>
              </w:rPr>
              <w:t>0</w:t>
            </w:r>
          </w:p>
        </w:tc>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bdr w:val="none" w:color="auto" w:sz="0" w:space="0"/>
              </w:rPr>
              <w:t>0</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bdr w:val="none" w:color="auto" w:sz="0" w:space="0"/>
              </w:rPr>
              <w:t>0</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bdr w:val="none" w:color="auto" w:sz="0" w:space="0"/>
              </w:rPr>
              <w:t>0</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bdr w:val="none" w:color="auto" w:sz="0" w:space="0"/>
              </w:rPr>
              <w:t>0</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bdr w:val="none" w:color="auto" w:sz="0" w:space="0"/>
              </w:rPr>
              <w:t>0</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bdr w:val="none" w:color="auto" w:sz="0" w:space="0"/>
              </w:rPr>
              <w:t>0</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bdr w:val="none" w:color="auto" w:sz="0" w:space="0"/>
              </w:rPr>
              <w:t>0</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bdr w:val="none" w:color="auto" w:sz="0" w:space="0"/>
              </w:rPr>
              <w:t>0</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bdr w:val="none" w:color="auto" w:sz="0" w:space="0"/>
              </w:rPr>
              <w:t>0</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bdr w:val="none" w:color="auto" w:sz="0" w:space="0"/>
              </w:rPr>
              <w:t>0</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bdr w:val="none" w:color="auto" w:sz="0" w:space="0"/>
              </w:rPr>
              <w:t>0</w:t>
            </w:r>
          </w:p>
        </w:tc>
      </w:tr>
    </w:tbl>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五、存在的主要问题及改进情况</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（一）存在问题 </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2018年，市委统战部政府信息公开工作在上级主管部门的正确领导下，做了大量工作，但标准还不够高，内容还不够全面、不够丰富，信息更新还需要更及时；公开形式的便民性也存在一定的不足。 </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（二）改进情况 </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按照《条例》的规定和市政府信息公开工作要求，我部今年进行了如下改进： </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一是进一步强化组织领导。调整优化领导机构名称和职能，明确职责分工，完善工作机制，不断创新工作方式方法，突出重点，注重实效，加强信息报送工作力度，使信息公开业务更加有序、便民、高效，确保广大人民群众的知情权、参与权、表达权和监督。 </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二是加强保密审查，扩展公开范围。对照《条例》的具体要求，认真清理政府信息公开事项，查漏补缺，修订信息公开指南和目录，确保应公开的政务信息全部公开。同时严把质量关、保密审查关，依据有关法律、法规严格审核公开内容，确保政府信息公开不影响国家安全、公共安全、经济安全和社会稳定，真正体现公开、公平、公正。 </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三是进一步拓宽信息公开途径。通过网络、微信等多种方式加大少数民族惠民政策宣传力度，进一步细化信息公开工作流程，拓宽公开渠道，确保操作简便明了，利于查找；同时“湖北政务服务网”及“互联网+监管”平台的开通，大大便利了我部信息的公开，更有利于群众了解我们的工作以及如何办理相关业务，大大的缩减了群众的办件时间，提升了部门办事效率。</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六、其他需要报告的事项</w:t>
      </w:r>
    </w:p>
    <w:p>
      <w:pPr>
        <w:pStyle w:val="2"/>
        <w:keepNext w:val="0"/>
        <w:keepLines w:val="0"/>
        <w:widowControl/>
        <w:suppressLineNumbers w:val="0"/>
        <w:spacing w:line="315" w:lineRule="atLeast"/>
        <w:ind w:left="0" w:firstLine="420"/>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2019年度我部信息公开工作没有其他需要报告事项。</w:t>
      </w:r>
    </w:p>
    <w:p>
      <w:pPr>
        <w:pStyle w:val="2"/>
        <w:keepNext w:val="0"/>
        <w:keepLines w:val="0"/>
        <w:widowControl/>
        <w:suppressLineNumbers w:val="0"/>
        <w:spacing w:line="315" w:lineRule="atLeast"/>
        <w:ind w:left="0" w:firstLine="420"/>
        <w:jc w:val="right"/>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中共大冶市委统战部 </w:t>
      </w:r>
    </w:p>
    <w:p>
      <w:pPr>
        <w:pStyle w:val="2"/>
        <w:keepNext w:val="0"/>
        <w:keepLines w:val="0"/>
        <w:widowControl/>
        <w:suppressLineNumbers w:val="0"/>
        <w:spacing w:line="315" w:lineRule="atLeast"/>
        <w:ind w:left="0" w:firstLine="420"/>
        <w:jc w:val="right"/>
        <w:rPr>
          <w:rFonts w:hint="default" w:ascii="Arial" w:hAnsi="Arial" w:cs="Arial"/>
          <w:i w:val="0"/>
          <w:caps w:val="0"/>
          <w:color w:val="000000"/>
          <w:spacing w:val="0"/>
          <w:sz w:val="28"/>
          <w:szCs w:val="28"/>
        </w:rPr>
      </w:pPr>
      <w:r>
        <w:rPr>
          <w:rFonts w:hint="default" w:ascii="Arial" w:hAnsi="Arial" w:cs="Arial"/>
          <w:i w:val="0"/>
          <w:caps w:val="0"/>
          <w:color w:val="000000"/>
          <w:spacing w:val="0"/>
          <w:sz w:val="28"/>
          <w:szCs w:val="28"/>
        </w:rPr>
        <w:t>2020年1月9日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40403"/>
    <w:rsid w:val="38540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2020-07-13T04:35:00Z</dcterms:created>
  <dc:creator>李成</dc:creator>
  <cp:lastModifiedBy>李成</cp:lastModifiedBy>
  <dcterms:modified xsi:type="dcterms:W3CDTF">2020-07-13T04:36:23Z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