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大冶市残联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2019年政府信息公开工作年度报告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一、概述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2019年，大冶市残疾人联合会认真贯彻落实《条例》精神，按照政务公开工作要求，着力健全和完善政府信息公开机制，认真开展政务公开各项具体工作，努力打造廉洁、阳光、高效的服务型政府，取得了良好成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是强化组织领导。主要领导全面负责，分管领导牵头，日常工作由办公室统筹，各部室按职能分别承担相应工作职责，形成了主要领导亲自抓、分管领导具体抓、部室负责人专门抓，层层负责、责任到人的工作局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二是规范工作程序。凡是需要公开的内容，严格按程序审批。上网信息经过部室负责人、分管领导审批，重大事项须经理事长或党组审批后方可发布。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二、主动公开政府信息情况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（一）市残联主动在云上大冶、部门宣传栏、市政府网站上公开机关职能、机构设置、办公地址、联系方式、负责人姓名等。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（二）民生保障信息公开方面。市残联每季度在大冶市政府网上公开“两项补贴”发放情况。</w:t>
      </w:r>
    </w:p>
    <w:tbl>
      <w:tblPr>
        <w:tblStyle w:val="3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规范性文件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（指各行政机关印发的有正式文号的文件）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2018年事项数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2018年事项数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2018年收费项目数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2019年以政府集中采购方式立项采购的项目总个数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2019年以政府集中采购方式采购的已结项项目的总金额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75.14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textDirection w:val="lrTbV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2019年，我会信息公开工作取得了一定成效，但仍存在一些问题：公开内容需进一步深化，公开形式需进一步优化，信息公开的时效性需进一步提高。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其他需要报告的事项和附表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2019年度我会信息公开工作没有其他需要报告事项。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right="420" w:right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24FC2F"/>
    <w:multiLevelType w:val="singleLevel"/>
    <w:tmpl w:val="B724FC2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1D0572"/>
    <w:multiLevelType w:val="singleLevel"/>
    <w:tmpl w:val="E11D057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E"/>
    <w:rsid w:val="00531DEE"/>
    <w:rsid w:val="037732C0"/>
    <w:rsid w:val="12046799"/>
    <w:rsid w:val="17556137"/>
    <w:rsid w:val="21294C5A"/>
    <w:rsid w:val="2AFE6E4E"/>
    <w:rsid w:val="3316188D"/>
    <w:rsid w:val="47F627D4"/>
    <w:rsid w:val="48E85735"/>
    <w:rsid w:val="602A224A"/>
    <w:rsid w:val="7B8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2020-01-09T01:05:00Z</dcterms:created>
  <dc:creator>Administrator</dc:creator>
  <cp:lastModifiedBy>起风的季节</cp:lastModifiedBy>
  <cp:lastPrinted>2020-01-09T07:53:00Z</cp:lastPrinted>
  <dcterms:modified xsi:type="dcterms:W3CDTF">2020-01-10T00:54:38Z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