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ascii="宋体" w:hAnsi="宋体" w:eastAsia="宋体" w:cs="宋体"/>
          <w:b/>
          <w:bCs/>
          <w:sz w:val="44"/>
          <w:szCs w:val="44"/>
        </w:rPr>
      </w:pPr>
      <w:r>
        <w:rPr>
          <w:rFonts w:hint="eastAsia" w:ascii="宋体" w:hAnsi="宋体" w:eastAsia="宋体" w:cs="宋体"/>
          <w:b/>
          <w:bCs/>
          <w:sz w:val="44"/>
          <w:szCs w:val="44"/>
        </w:rPr>
        <w:t>大冶市发展和改革局2020年政府信息</w:t>
      </w:r>
    </w:p>
    <w:p>
      <w:pPr>
        <w:ind w:firstLine="2209" w:firstLineChars="500"/>
        <w:rPr>
          <w:rFonts w:ascii="宋体" w:hAnsi="宋体" w:eastAsia="宋体" w:cs="宋体"/>
          <w:b/>
          <w:bCs/>
          <w:sz w:val="44"/>
          <w:szCs w:val="44"/>
        </w:rPr>
      </w:pPr>
      <w:r>
        <w:rPr>
          <w:rFonts w:hint="eastAsia" w:ascii="宋体" w:hAnsi="宋体" w:eastAsia="宋体" w:cs="宋体"/>
          <w:b/>
          <w:bCs/>
          <w:sz w:val="44"/>
          <w:szCs w:val="44"/>
        </w:rPr>
        <w:t>公开工作年度报告</w:t>
      </w:r>
    </w:p>
    <w:p>
      <w:pPr>
        <w:ind w:left="639" w:leftChars="152" w:hanging="320" w:hangingChars="100"/>
        <w:rPr>
          <w:rFonts w:ascii="方正小标宋简体" w:hAnsi="方正小标宋简体" w:eastAsia="方正小标宋简体" w:cs="方正小标宋简体"/>
          <w:sz w:val="32"/>
          <w:szCs w:val="32"/>
        </w:rPr>
      </w:pPr>
    </w:p>
    <w:p>
      <w:pPr>
        <w:ind w:left="638" w:leftChars="304"/>
        <w:rPr>
          <w:rFonts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rPr>
        <w:t> </w:t>
      </w:r>
      <w:r>
        <w:rPr>
          <w:rFonts w:hint="eastAsia" w:ascii="方正小标宋简体" w:hAnsi="方正小标宋简体" w:eastAsia="方正小标宋简体" w:cs="方正小标宋简体"/>
          <w:b/>
          <w:bCs/>
          <w:sz w:val="32"/>
          <w:szCs w:val="32"/>
        </w:rPr>
        <w:t>一、总体情况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和大冶市政务服务和大数据管理局要求编制，全文包括本年度政府信息公开工作的基本情况，主动公开政府信息情况，收到和处理政府信息公开申请情况，政府信息公开行政复议、行政诉讼情况，存在的主要问题及改进情况，其他需要报告的事项等六部分。本报告中所列数据统计期限自2020年1月至2020年12月止，并报送大冶市政务服务和大数据管理局。如对本年度报告有任何疑问，请与大冶市发改局政务公开领导小组办公室联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联系地址：湖北省大冶市总部经济中心2区9楼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联系电话：0714-8712336，邮政编码：435100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fldChar w:fldCharType="begin"/>
      </w:r>
      <w:r>
        <w:instrText xml:space="preserve"> HYPERLINK "mailto:xxtczj@163.com%EF%BC%89%E3%80%82" </w:instrText>
      </w:r>
      <w:r>
        <w:fldChar w:fldCharType="separate"/>
      </w:r>
      <w:r>
        <w:rPr>
          <w:rFonts w:hint="eastAsia" w:ascii="仿宋_GB2312" w:hAnsi="仿宋_GB2312" w:eastAsia="仿宋_GB2312" w:cs="仿宋_GB2312"/>
          <w:sz w:val="32"/>
          <w:szCs w:val="32"/>
        </w:rPr>
        <w:t>dysfgj@163.com</w:t>
      </w:r>
      <w:r>
        <w:rPr>
          <w:rFonts w:hint="eastAsia" w:ascii="仿宋_GB2312" w:hAnsi="仿宋_GB2312" w:eastAsia="仿宋_GB2312" w:cs="仿宋_GB2312"/>
          <w:sz w:val="32"/>
          <w:szCs w:val="32"/>
        </w:rPr>
        <w:fldChar w:fldCharType="end"/>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我局认真贯彻落实《中华人民共和国政府信息公开条例》的有关规定，紧密结合发改工作特点，大力推进我局政府信息公开工作，不断规范政府信息公开内容，突出政府信息公开重点，不断提高政府信息公开水平，加快推进决策、执行、管理、服务、结果“五公开”，确保了我局政府信息公开工作的全面、及时、规范与安全。现将总体情况报告如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(一)领导重视,政务公开工作摆上重要议事日程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高度重视政务公开工作,把政府信息公开工作作为重点工作来抓。切实加强领导、精心组织实施,一把手亲自抓政务公开工作,局政务公开领导小组办公室负责具体落实,各相关股室积极配合,形成上下联动、整体推进的工作体系,使我局政务公开工作不流于形式,不走过场,形成了政务公开长效机制。为切实提高我局政务公开工作的透明度,提高工作效率,我局组织召开会议,研究部署政务公开工作,要求各股室将工作职责、办事依据、办事程序和办事要求进一步梳理和完善,使政务公开的内容更全面、更具体、更贴近于民。</w:t>
      </w:r>
    </w:p>
    <w:p>
      <w:pPr>
        <w:ind w:firstLine="640" w:firstLineChars="200"/>
        <w:rPr>
          <w:rFonts w:ascii="黑体" w:hAnsi="黑体" w:eastAsia="黑体" w:cs="黑体"/>
          <w:sz w:val="32"/>
          <w:szCs w:val="32"/>
        </w:rPr>
      </w:pPr>
      <w:r>
        <w:rPr>
          <w:rFonts w:hint="eastAsia" w:ascii="黑体" w:hAnsi="黑体" w:eastAsia="黑体" w:cs="黑体"/>
          <w:sz w:val="32"/>
          <w:szCs w:val="32"/>
        </w:rPr>
        <w:t>(二)贯彻上级文件精神,政府信息公开工作在规范中深入推进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强化业务学习组织各股室的负责人员采取集中和分散相结合的学习形式,进一步明确了政府信息公开的主体和原则、范围和内容、方式和程序、监督和保障等方面的问题。对照文件要求,查找公开工作中存在的差距和问题,积极整改,增强了工作人员对《条例》重要意义的认识和贯彻落实相关文件的主动性和自觉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学编制公开指南和公开目录。根据政府信息公开的要求,我局编制了政府信息公开目录,对主动公开信息的范围、获取途径和方式、政府信息的编排体系作了详细说明,对申请公开的政府信息,详细介绍了受理机构、申请程序、投诉举报电话信箱,为公众获取政府信息提供了便捷的渠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3.完善政务信息公开渠道。我局通过政府网站全面公开文件政策、行政职能、工作动态等政务信息,同时适应网络化发展需要,通过微信公众平台、微信群等多个渠道公开政务信息。</w:t>
      </w:r>
    </w:p>
    <w:p>
      <w:pPr>
        <w:ind w:firstLine="640" w:firstLineChars="200"/>
        <w:rPr>
          <w:rFonts w:ascii="仿宋_GB2312" w:eastAsia="仿宋_GB2312" w:cs="仿宋_GB2312"/>
          <w:color w:val="333333"/>
          <w:sz w:val="24"/>
        </w:rPr>
      </w:pPr>
      <w:r>
        <w:rPr>
          <w:rFonts w:hint="eastAsia" w:ascii="仿宋_GB2312" w:hAnsi="仿宋_GB2312" w:eastAsia="仿宋_GB2312" w:cs="仿宋_GB2312"/>
          <w:sz w:val="32"/>
          <w:szCs w:val="32"/>
        </w:rPr>
        <w:t>4.建立健全政府信息公开制度。按照政务信息公开的工作要求,制定了政府信息公开制度、考核制度、责任追究制度,信息公开公示制度、政府信息公开制度日趋完善。</w:t>
      </w:r>
    </w:p>
    <w:p>
      <w:pPr>
        <w:ind w:firstLine="643" w:firstLineChars="200"/>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二、主动公开政府信息情况</w:t>
      </w:r>
    </w:p>
    <w:tbl>
      <w:tblPr>
        <w:tblStyle w:val="7"/>
        <w:tblW w:w="8401" w:type="dxa"/>
        <w:jc w:val="center"/>
        <w:tblLayout w:type="autofit"/>
        <w:tblCellMar>
          <w:top w:w="0" w:type="dxa"/>
          <w:left w:w="0" w:type="dxa"/>
          <w:bottom w:w="0" w:type="dxa"/>
          <w:right w:w="0" w:type="dxa"/>
        </w:tblCellMar>
      </w:tblPr>
      <w:tblGrid>
        <w:gridCol w:w="2714"/>
        <w:gridCol w:w="2000"/>
        <w:gridCol w:w="1650"/>
        <w:gridCol w:w="2037"/>
      </w:tblGrid>
      <w:tr>
        <w:tblPrEx>
          <w:tblCellMar>
            <w:top w:w="0" w:type="dxa"/>
            <w:left w:w="0" w:type="dxa"/>
            <w:bottom w:w="0" w:type="dxa"/>
            <w:right w:w="0" w:type="dxa"/>
          </w:tblCellMar>
        </w:tblPrEx>
        <w:trPr>
          <w:trHeight w:val="495"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第二十条第（一）项</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信息内容</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本年新</w:t>
            </w:r>
            <w:r>
              <w:rPr>
                <w:rFonts w:hint="eastAsia" w:ascii="宋体" w:hAnsi="宋体" w:eastAsia="宋体" w:cs="宋体"/>
                <w:color w:val="000000"/>
                <w:kern w:val="0"/>
                <w:sz w:val="24"/>
              </w:rPr>
              <w:br w:type="textWrapping"/>
            </w:r>
            <w:r>
              <w:rPr>
                <w:rFonts w:hint="eastAsia" w:ascii="宋体" w:hAnsi="宋体" w:eastAsia="宋体" w:cs="宋体"/>
                <w:kern w:val="0"/>
                <w:sz w:val="24"/>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本年新</w:t>
            </w:r>
            <w:r>
              <w:rPr>
                <w:rFonts w:hint="eastAsia" w:ascii="宋体" w:hAnsi="宋体" w:eastAsia="宋体" w:cs="宋体"/>
                <w:color w:val="000000"/>
                <w:kern w:val="0"/>
                <w:sz w:val="24"/>
              </w:rPr>
              <w:br w:type="textWrapping"/>
            </w:r>
            <w:r>
              <w:rPr>
                <w:rFonts w:hint="eastAsia" w:ascii="宋体" w:hAnsi="宋体" w:eastAsia="宋体" w:cs="宋体"/>
                <w:kern w:val="0"/>
                <w:sz w:val="24"/>
              </w:rPr>
              <w:t>公开数量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对外公开总数量</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color w:val="000000"/>
                <w:kern w:val="0"/>
                <w:sz w:val="24"/>
              </w:rPr>
            </w:pP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color w:val="000000"/>
                <w:kern w:val="0"/>
                <w:sz w:val="24"/>
              </w:rPr>
            </w:pP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color w:val="000000"/>
                <w:kern w:val="0"/>
                <w:sz w:val="24"/>
              </w:rPr>
            </w:pP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宋体" w:hAnsi="宋体" w:eastAsia="宋体" w:cs="宋体"/>
                <w:color w:val="000000"/>
                <w:kern w:val="0"/>
                <w:sz w:val="24"/>
              </w:rPr>
            </w:pP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规章</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规范性文件</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8</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8</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bottom"/>
          </w:tcPr>
          <w:p>
            <w:pPr>
              <w:widowControl/>
              <w:spacing w:after="180" w:line="360" w:lineRule="atLeast"/>
              <w:jc w:val="center"/>
              <w:rPr>
                <w:sz w:val="24"/>
              </w:rPr>
            </w:pPr>
            <w:r>
              <w:rPr>
                <w:rFonts w:hint="eastAsia" w:ascii="宋体" w:hAnsi="宋体" w:eastAsia="宋体" w:cs="宋体"/>
                <w:kern w:val="0"/>
                <w:sz w:val="24"/>
              </w:rPr>
              <w:t>8</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信息内容</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本年增/减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处理决定数量</w:t>
            </w:r>
          </w:p>
        </w:tc>
      </w:tr>
      <w:tr>
        <w:tblPrEx>
          <w:tblCellMar>
            <w:top w:w="0" w:type="dxa"/>
            <w:left w:w="0" w:type="dxa"/>
            <w:bottom w:w="0" w:type="dxa"/>
            <w:right w:w="0" w:type="dxa"/>
          </w:tblCellMar>
        </w:tblPrEx>
        <w:trPr>
          <w:trHeight w:val="428"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行政许可</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18</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16</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其他对外管理服务事项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7</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-2</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593</w:t>
            </w:r>
          </w:p>
        </w:tc>
      </w:tr>
      <w:tr>
        <w:tblPrEx>
          <w:tblCellMar>
            <w:top w:w="0" w:type="dxa"/>
            <w:left w:w="0" w:type="dxa"/>
            <w:bottom w:w="0" w:type="dxa"/>
            <w:right w:w="0" w:type="dxa"/>
          </w:tblCellMar>
        </w:tblPrEx>
        <w:trPr>
          <w:trHeight w:val="40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信息内容</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本年增/减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行政处罚</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25</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　0</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行政强制</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eastAsia="宋体"/>
                <w:sz w:val="24"/>
                <w:lang w:val="en-US" w:eastAsia="zh-CN"/>
              </w:rPr>
            </w:pPr>
            <w:r>
              <w:rPr>
                <w:rFonts w:hint="eastAsia" w:ascii="宋体" w:hAnsi="宋体" w:eastAsia="宋体" w:cs="宋体"/>
                <w:color w:val="000000"/>
                <w:kern w:val="0"/>
                <w:sz w:val="24"/>
              </w:rPr>
              <w:t>　</w:t>
            </w:r>
            <w:r>
              <w:rPr>
                <w:rFonts w:hint="eastAsia" w:ascii="宋体" w:hAnsi="宋体" w:eastAsia="宋体" w:cs="宋体"/>
                <w:color w:val="000000"/>
                <w:kern w:val="0"/>
                <w:sz w:val="24"/>
                <w:lang w:val="en-US" w:eastAsia="zh-CN"/>
              </w:rPr>
              <w:t>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eastAsia="宋体"/>
                <w:sz w:val="24"/>
                <w:lang w:val="en-US" w:eastAsia="zh-CN"/>
              </w:rPr>
            </w:pPr>
            <w:r>
              <w:rPr>
                <w:rFonts w:hint="eastAsia" w:ascii="宋体" w:hAnsi="宋体" w:eastAsia="宋体" w:cs="宋体"/>
                <w:color w:val="000000"/>
                <w:kern w:val="0"/>
                <w:sz w:val="24"/>
              </w:rPr>
              <w:t>　</w:t>
            </w:r>
            <w:r>
              <w:rPr>
                <w:rFonts w:hint="eastAsia" w:ascii="宋体" w:hAnsi="宋体" w:eastAsia="宋体" w:cs="宋体"/>
                <w:color w:val="000000"/>
                <w:kern w:val="0"/>
                <w:sz w:val="24"/>
                <w:lang w:val="en-US" w:eastAsia="zh-CN"/>
              </w:rPr>
              <w:t>0</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eastAsia" w:eastAsia="宋体"/>
                <w:sz w:val="24"/>
                <w:lang w:val="en-US" w:eastAsia="zh-CN"/>
              </w:rPr>
            </w:pPr>
            <w:r>
              <w:rPr>
                <w:rFonts w:hint="eastAsia" w:ascii="宋体" w:hAnsi="宋体" w:eastAsia="宋体" w:cs="宋体"/>
                <w:color w:val="000000"/>
                <w:kern w:val="0"/>
                <w:sz w:val="24"/>
              </w:rPr>
              <w:t>　</w:t>
            </w:r>
            <w:r>
              <w:rPr>
                <w:rFonts w:hint="eastAsia" w:ascii="宋体" w:hAnsi="宋体" w:eastAsia="宋体" w:cs="宋体"/>
                <w:color w:val="000000"/>
                <w:kern w:val="0"/>
                <w:sz w:val="24"/>
                <w:lang w:val="en-US" w:eastAsia="zh-CN"/>
              </w:rPr>
              <w:t>0</w:t>
            </w:r>
            <w:bookmarkStart w:id="0" w:name="_GoBack"/>
            <w:bookmarkEnd w:id="0"/>
          </w:p>
        </w:tc>
      </w:tr>
      <w:tr>
        <w:tblPrEx>
          <w:tblCellMar>
            <w:top w:w="0" w:type="dxa"/>
            <w:left w:w="0" w:type="dxa"/>
            <w:bottom w:w="0" w:type="dxa"/>
            <w:right w:w="0" w:type="dxa"/>
          </w:tblCellMar>
        </w:tblPrEx>
        <w:trPr>
          <w:trHeight w:val="47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信息内容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上一年项目数量</w:t>
            </w:r>
          </w:p>
        </w:tc>
        <w:tc>
          <w:tcPr>
            <w:tcW w:w="368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行政事业性收费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sz w:val="24"/>
              </w:rPr>
              <w:t>32</w:t>
            </w:r>
          </w:p>
        </w:tc>
        <w:tc>
          <w:tcPr>
            <w:tcW w:w="3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sz w:val="24"/>
              </w:rPr>
              <w:t>0</w:t>
            </w:r>
          </w:p>
        </w:tc>
      </w:tr>
      <w:tr>
        <w:tblPrEx>
          <w:tblCellMar>
            <w:top w:w="0" w:type="dxa"/>
            <w:left w:w="0" w:type="dxa"/>
            <w:bottom w:w="0" w:type="dxa"/>
            <w:right w:w="0"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信息内容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采购项目数量</w:t>
            </w:r>
          </w:p>
        </w:tc>
        <w:tc>
          <w:tcPr>
            <w:tcW w:w="368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4"/>
              </w:rPr>
              <w:t>采购总金额</w:t>
            </w:r>
          </w:p>
        </w:tc>
      </w:tr>
      <w:tr>
        <w:tblPrEx>
          <w:tblCellMar>
            <w:top w:w="0" w:type="dxa"/>
            <w:left w:w="0" w:type="dxa"/>
            <w:bottom w:w="0" w:type="dxa"/>
            <w:right w:w="0"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color w:val="000000"/>
                <w:kern w:val="0"/>
                <w:sz w:val="24"/>
              </w:rPr>
              <w:t>政府集中采购</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3</w:t>
            </w:r>
          </w:p>
        </w:tc>
        <w:tc>
          <w:tcPr>
            <w:tcW w:w="3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rPr>
              <w:t>4495000</w:t>
            </w:r>
          </w:p>
        </w:tc>
      </w:tr>
    </w:tbl>
    <w:p>
      <w:pPr>
        <w:pStyle w:val="6"/>
        <w:widowControl/>
        <w:shd w:val="clear" w:color="auto" w:fill="FFFFFF"/>
        <w:wordWrap w:val="0"/>
        <w:spacing w:beforeAutospacing="0" w:afterAutospacing="0"/>
        <w:rPr>
          <w:rFonts w:ascii="仿宋_GB2312" w:eastAsia="仿宋_GB2312" w:cs="仿宋_GB2312"/>
          <w:color w:val="333333"/>
        </w:rPr>
      </w:pPr>
      <w:r>
        <w:rPr>
          <w:rFonts w:hint="eastAsia" w:ascii="方正小标宋简体" w:hAnsi="方正小标宋简体" w:eastAsia="方正小标宋简体" w:cs="方正小标宋简体"/>
          <w:b/>
          <w:color w:val="333333"/>
          <w:sz w:val="32"/>
          <w:szCs w:val="32"/>
          <w:shd w:val="clear" w:color="auto" w:fill="FFFFFF"/>
        </w:rPr>
        <w:t>   三、收到和处理政府信息公开申请情况</w:t>
      </w:r>
    </w:p>
    <w:tbl>
      <w:tblPr>
        <w:tblStyle w:val="7"/>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（本列数据的勾稽关系为：第一项加第二项之和，等于第三项加第四项之和）</w:t>
            </w:r>
          </w:p>
        </w:tc>
        <w:tc>
          <w:tcPr>
            <w:tcW w:w="541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自然人</w:t>
            </w:r>
          </w:p>
        </w:tc>
        <w:tc>
          <w:tcPr>
            <w:tcW w:w="393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法人或其他组织</w:t>
            </w:r>
          </w:p>
        </w:tc>
        <w:tc>
          <w:tcPr>
            <w:tcW w:w="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商业企业</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科研机构</w:t>
            </w:r>
          </w:p>
        </w:tc>
        <w:tc>
          <w:tcPr>
            <w:tcW w:w="7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社会公益组织</w:t>
            </w:r>
          </w:p>
        </w:tc>
        <w:tc>
          <w:tcPr>
            <w:tcW w:w="9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法律服务机构</w:t>
            </w:r>
          </w:p>
        </w:tc>
        <w:tc>
          <w:tcPr>
            <w:tcW w:w="7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其他</w:t>
            </w:r>
          </w:p>
        </w:tc>
        <w:tc>
          <w:tcPr>
            <w:tcW w:w="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kern w:val="0"/>
                <w:sz w:val="24"/>
              </w:rPr>
              <w:t>一、本年新收政府信息公开申请数量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3</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3</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kern w:val="0"/>
                <w:sz w:val="24"/>
              </w:rPr>
              <w:t>二、上年结转政府信息公开申请数量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4"/>
              </w:rPr>
              <w:t>三、本年度办理结果</w:t>
            </w: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ascii="楷体" w:hAnsi="楷体" w:eastAsia="楷体" w:cs="楷体"/>
                <w:kern w:val="0"/>
                <w:sz w:val="24"/>
              </w:rPr>
              <w:t>（一）予以公开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3</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3</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（二）部分公开（区分处理的，只计这一情形，不计其他情形）</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（三）不予公开</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1.属于国家秘密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2.其他法律行政法规禁止公开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楷体_GB2312" w:hAnsi="楷体_GB2312" w:eastAsia="楷体_GB2312" w:cs="楷体_GB2312"/>
                <w:sz w:val="24"/>
              </w:rPr>
            </w:pPr>
            <w:r>
              <w:rPr>
                <w:rFonts w:hint="eastAsia" w:ascii="楷体_GB2312" w:hAnsi="楷体_GB2312" w:eastAsia="楷体_GB2312" w:cs="楷体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3.危及“三安全一稳定”</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4.保护第三方合法权益</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5.属于三类内部事务信息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6.属于四类过程性信息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7.属于行政执法案卷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8.属于行政查询事项</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（四）无法提供</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1.本机关不掌握相关政府信息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2.没有现成信息需要另行制作</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3.补正后申请内容仍不明确</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（五）不予处理</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1.信访举报投诉类申请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2.重复申请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3.要求提供公开出版物</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4.无正当理由大量反复申请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5.要求行政机关确认或重新出具已获取信息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（六）其他处理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楷体" w:hAnsi="楷体" w:eastAsia="楷体" w:cs="楷体"/>
                <w:kern w:val="0"/>
                <w:sz w:val="24"/>
              </w:rPr>
              <w:t>（七）总计</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sz w:val="24"/>
              </w:rPr>
            </w:pPr>
            <w:r>
              <w:rPr>
                <w:rFonts w:hint="eastAsia" w:ascii="宋体" w:hAnsi="宋体" w:eastAsia="宋体" w:cs="宋体"/>
                <w:kern w:val="0"/>
                <w:sz w:val="24"/>
              </w:rPr>
              <w:t>四、结转下年度继续办理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r>
    </w:tbl>
    <w:p>
      <w:pPr>
        <w:pStyle w:val="6"/>
        <w:widowControl/>
        <w:shd w:val="clear" w:color="auto" w:fill="FFFFFF"/>
        <w:wordWrap w:val="0"/>
        <w:spacing w:beforeAutospacing="0" w:afterAutospacing="0"/>
        <w:rPr>
          <w:rFonts w:ascii="仿宋_GB2312" w:eastAsia="仿宋_GB2312" w:cs="仿宋_GB2312"/>
          <w:color w:val="333333"/>
        </w:rPr>
      </w:pPr>
      <w:r>
        <w:rPr>
          <w:rFonts w:hint="eastAsia" w:ascii="方正小标宋简体" w:hAnsi="方正小标宋简体" w:eastAsia="方正小标宋简体" w:cs="方正小标宋简体"/>
          <w:b/>
          <w:color w:val="333333"/>
          <w:sz w:val="32"/>
          <w:szCs w:val="32"/>
          <w:shd w:val="clear" w:color="auto" w:fill="FFFFFF"/>
        </w:rPr>
        <w:t>   四、政府信息公开行政复议、行政诉讼情况</w:t>
      </w:r>
    </w:p>
    <w:tbl>
      <w:tblPr>
        <w:tblStyle w:val="7"/>
        <w:tblW w:w="85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3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结果维持</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0"/>
                <w:szCs w:val="20"/>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0"/>
                <w:szCs w:val="20"/>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kern w:val="0"/>
                <w:sz w:val="20"/>
                <w:szCs w:val="20"/>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sz w:val="24"/>
              </w:rPr>
            </w:pPr>
            <w:r>
              <w:rPr>
                <w:rFonts w:hint="eastAsia" w:ascii="宋体" w:hAns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宋体" w:hAnsi="宋体" w:eastAsia="宋体" w:cs="宋体"/>
                <w:kern w:val="0"/>
                <w:sz w:val="18"/>
                <w:szCs w:val="18"/>
              </w:rPr>
              <w:t>0</w:t>
            </w:r>
          </w:p>
        </w:tc>
      </w:tr>
    </w:tbl>
    <w:p>
      <w:pPr>
        <w:rPr>
          <w:rFonts w:ascii="仿宋_GB2312" w:hAnsi="仿宋_GB2312" w:eastAsia="仿宋_GB2312" w:cs="仿宋_GB2312"/>
          <w:sz w:val="32"/>
          <w:szCs w:val="32"/>
        </w:rPr>
      </w:pPr>
      <w:r>
        <w:rPr>
          <w:rFonts w:hint="eastAsia" w:ascii="方正小标宋简体" w:hAnsi="方正小标宋简体" w:eastAsia="方正小标宋简体" w:cs="方正小标宋简体"/>
          <w:b/>
          <w:color w:val="333333"/>
          <w:kern w:val="0"/>
          <w:sz w:val="32"/>
          <w:szCs w:val="32"/>
          <w:shd w:val="clear" w:color="auto" w:fill="FFFFFF"/>
        </w:rPr>
        <w:t xml:space="preserve">    </w:t>
      </w:r>
      <w:r>
        <w:rPr>
          <w:rFonts w:hint="eastAsia" w:ascii="方正小标宋简体" w:hAnsi="方正小标宋简体" w:eastAsia="方正小标宋简体" w:cs="方正小标宋简体"/>
          <w:b/>
          <w:bCs/>
          <w:sz w:val="32"/>
          <w:szCs w:val="32"/>
        </w:rPr>
        <w:t xml:space="preserve"> 五、存在的主要问题及改进情况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2020年，我局政府信息公开工作整体取得了新的进展，但也存在一定差距。</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（一）主要存在问题。</w:t>
      </w:r>
      <w:r>
        <w:rPr>
          <w:rFonts w:hint="eastAsia" w:ascii="仿宋_GB2312" w:hAnsi="仿宋_GB2312" w:eastAsia="仿宋_GB2312" w:cs="仿宋_GB2312"/>
          <w:sz w:val="32"/>
          <w:szCs w:val="32"/>
        </w:rPr>
        <w:t>一是个别股室对开展政府信息公开工作的重要性的认识有待进一步提高。二是在政府信息公开的制度化和规范化有待进一步加强。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（二）下步打算和改进措施。</w:t>
      </w:r>
      <w:r>
        <w:rPr>
          <w:rFonts w:hint="eastAsia" w:ascii="仿宋_GB2312" w:hAnsi="仿宋_GB2312" w:eastAsia="仿宋_GB2312" w:cs="仿宋_GB2312"/>
          <w:sz w:val="32"/>
          <w:szCs w:val="32"/>
        </w:rPr>
        <w:t>2020年，我局将进一步围绕政府信息公开重点、难点和热点问题，采取适当的公开形式，拓宽公开内容，满足公众的信息需求，健全政府信息公开工作机制。一是统一认识。进一步梳理我局所掌握的信息，及时提供，定期维护，确保政府信息公开能及时、准确上网公开，能够方便公众查询。二是加强学习，提高认识，明确责任，强化管理，进一步提高政府信息公开工作水平。通过例会学习、专题学习等形式，加强全体干部职工对政府信息公开规定的了解，增强政府信息公开意识。三是认真梳理，逐步扩大公开内容。我局将进一步梳理政府信息，对涉及我局政府信息目录的信息做实做细，并进行信息的补充和完善，保障公开信息的完整性和准确性。四是进一步明确政府信息公开内容和范围，完善我局信息公开各项制度，促进我局信息公开工作的规范化、制度化。五是提高政府信息公开的时效性和针对性。及时将涉及国民经济和社会发展、投资项目、价费管理、粮食收购等信息主动上网公开，切实做好为民服务工作。</w:t>
      </w:r>
    </w:p>
    <w:p>
      <w:pPr>
        <w:pStyle w:val="6"/>
        <w:widowControl/>
        <w:wordWrap w:val="0"/>
        <w:spacing w:beforeAutospacing="0" w:afterAutospacing="0"/>
        <w:jc w:val="both"/>
        <w:rPr>
          <w:sz w:val="32"/>
          <w:szCs w:val="32"/>
        </w:rPr>
      </w:pPr>
      <w:r>
        <w:rPr>
          <w:rFonts w:hint="eastAsia" w:ascii="方正小标宋简体" w:hAnsi="方正小标宋简体" w:eastAsia="方正小标宋简体" w:cs="方正小标宋简体"/>
          <w:b/>
          <w:color w:val="333333"/>
          <w:shd w:val="clear" w:color="auto" w:fill="FFFFFF"/>
        </w:rPr>
        <w:t xml:space="preserve">       </w:t>
      </w:r>
      <w:r>
        <w:rPr>
          <w:rFonts w:hint="eastAsia" w:ascii="方正小标宋简体" w:hAnsi="方正小标宋简体" w:eastAsia="方正小标宋简体" w:cs="方正小标宋简体"/>
          <w:b/>
          <w:color w:val="333333"/>
          <w:sz w:val="32"/>
          <w:szCs w:val="32"/>
          <w:shd w:val="clear" w:color="auto" w:fill="FFFFFF"/>
        </w:rPr>
        <w:t>六、其他需要报告的事项</w:t>
      </w:r>
      <w:r>
        <w:rPr>
          <w:rFonts w:hint="eastAsia" w:ascii="仿宋_GB2312" w:eastAsia="仿宋_GB2312" w:cs="仿宋_GB2312"/>
          <w:color w:val="333333"/>
          <w:sz w:val="32"/>
          <w:szCs w:val="32"/>
          <w:shd w:val="clear" w:color="auto" w:fill="FFFFFF"/>
        </w:rPr>
        <w:t> </w:t>
      </w:r>
    </w:p>
    <w:p>
      <w:pPr>
        <w:pStyle w:val="6"/>
        <w:widowControl/>
        <w:wordWrap w:val="0"/>
        <w:spacing w:beforeAutospacing="0" w:afterAutospacing="0"/>
        <w:jc w:val="both"/>
      </w:pPr>
      <w:r>
        <w:rPr>
          <w:rFonts w:hint="eastAsia" w:ascii="仿宋_GB2312" w:eastAsia="仿宋_GB2312" w:cs="仿宋_GB2312"/>
          <w:color w:val="333333"/>
          <w:sz w:val="32"/>
          <w:szCs w:val="32"/>
          <w:shd w:val="clear" w:color="auto" w:fill="FFFFFF"/>
        </w:rPr>
        <w:t>     本年度无其他需要报告的事项。</w:t>
      </w:r>
      <w:r>
        <w:rPr>
          <w:rFonts w:hint="eastAsia" w:ascii="仿宋_GB2312" w:eastAsia="仿宋_GB2312" w:cs="仿宋_GB2312"/>
          <w:color w:val="333333"/>
          <w:shd w:val="clear" w:color="auto" w:fill="FFFFFF"/>
        </w:rPr>
        <w:t>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2020年1月9日</w:t>
      </w: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5814B6"/>
    <w:rsid w:val="00044C5D"/>
    <w:rsid w:val="00057A12"/>
    <w:rsid w:val="002D732D"/>
    <w:rsid w:val="002E4CB6"/>
    <w:rsid w:val="0033160D"/>
    <w:rsid w:val="005250FF"/>
    <w:rsid w:val="005D3E1F"/>
    <w:rsid w:val="00706D80"/>
    <w:rsid w:val="0071161D"/>
    <w:rsid w:val="007B447B"/>
    <w:rsid w:val="00B5754A"/>
    <w:rsid w:val="00C60737"/>
    <w:rsid w:val="00D6597D"/>
    <w:rsid w:val="00F321A3"/>
    <w:rsid w:val="00F642F3"/>
    <w:rsid w:val="06AF6119"/>
    <w:rsid w:val="097912EB"/>
    <w:rsid w:val="0C13281B"/>
    <w:rsid w:val="0DD84221"/>
    <w:rsid w:val="25774733"/>
    <w:rsid w:val="2DEB4059"/>
    <w:rsid w:val="35BB2681"/>
    <w:rsid w:val="41947C34"/>
    <w:rsid w:val="4E5814B6"/>
    <w:rsid w:val="50A8043F"/>
    <w:rsid w:val="5CBD699C"/>
    <w:rsid w:val="74677CE9"/>
    <w:rsid w:val="7AC76B9A"/>
    <w:rsid w:val="7CBF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kern w:val="0"/>
      <w:sz w:val="15"/>
      <w:szCs w:val="15"/>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Char"/>
    <w:basedOn w:val="8"/>
    <w:link w:val="5"/>
    <w:uiPriority w:val="0"/>
    <w:rPr>
      <w:rFonts w:asciiTheme="minorHAnsi" w:hAnsiTheme="minorHAnsi" w:eastAsiaTheme="minorEastAsia" w:cstheme="minorBidi"/>
      <w:kern w:val="2"/>
      <w:sz w:val="18"/>
      <w:szCs w:val="18"/>
    </w:rPr>
  </w:style>
  <w:style w:type="character" w:customStyle="1" w:styleId="11">
    <w:name w:val="页脚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480</Words>
  <Characters>2738</Characters>
  <Lines>22</Lines>
  <Paragraphs>6</Paragraphs>
  <TotalTime>7</TotalTime>
  <ScaleCrop>false</ScaleCrop>
  <LinksUpToDate>false</LinksUpToDate>
  <CharactersWithSpaces>3212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2021-01-25T03:17:00Z</dcterms:created>
  <dc:creator>Administrator</dc:creator>
  <cp:lastModifiedBy>不过如此</cp:lastModifiedBy>
  <cp:lastPrinted>2020-01-09T07:27:00Z</cp:lastPrinted>
  <dcterms:modified xsi:type="dcterms:W3CDTF">2021-01-25T09:05:02Z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