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432"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大冶市水利和湖泊局2021年政府信息公开工作年度报告</w:t>
      </w:r>
    </w:p>
    <w:p>
      <w:pPr>
        <w:pStyle w:val="6"/>
        <w:widowControl/>
        <w:spacing w:line="432" w:lineRule="auto"/>
        <w:jc w:val="center"/>
        <w:rPr>
          <w:rFonts w:ascii="方正小标宋_GBK" w:hAnsi="方正小标宋_GBK" w:eastAsia="方正小标宋_GBK" w:cs="方正小标宋_GBK"/>
          <w:sz w:val="44"/>
          <w:szCs w:val="44"/>
        </w:rPr>
      </w:pPr>
    </w:p>
    <w:p>
      <w:pPr>
        <w:widowControl/>
        <w:shd w:val="clear" w:color="auto" w:fill="FFFFFF"/>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2021年，大冶市水利和湖泊局认真贯彻落实《中华人民共和国政府信息公开条例》及《国务院办公厅政府信息与政务公开办公室关于政府信息公开年度报告有关事项的通知》等文件精神，不断加强机关作风建设，提高行政效能和工作透明度，全面依法行政，确保政府信息公开及时有效，促进了政府信息公开工作规范、有序、健康发展。现将有关情况报告如下：</w:t>
      </w:r>
    </w:p>
    <w:p>
      <w:pPr>
        <w:widowControl/>
        <w:shd w:val="clear" w:color="auto" w:fill="FFFFFF"/>
        <w:spacing w:line="560" w:lineRule="exact"/>
        <w:ind w:firstLine="480"/>
        <w:rPr>
          <w:rFonts w:ascii="黑体" w:hAnsi="黑体" w:eastAsia="黑体" w:cs="宋体"/>
          <w:color w:val="333333"/>
          <w:kern w:val="0"/>
          <w:sz w:val="32"/>
          <w:szCs w:val="32"/>
        </w:rPr>
      </w:pPr>
      <w:r>
        <w:rPr>
          <w:rFonts w:ascii="黑体" w:hAnsi="黑体" w:eastAsia="黑体" w:cs="宋体"/>
          <w:b/>
          <w:bCs/>
          <w:color w:val="333333"/>
          <w:kern w:val="0"/>
          <w:sz w:val="32"/>
          <w:szCs w:val="32"/>
        </w:rPr>
        <w:t>一、总体情况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2021年是中国共产党成立100周年，是“十四五”的开局之年。我局坚持以习近平新时代中国特色社会主义思想为指导，按照党中央、国务院、省委、省政府和市委、市政府决策部署，深入贯彻党的十九大和十九届二中、三中、四中、五中、六中全会精神，坚持以人民为中心，紧紧围绕全市中心工作和社会公众期盼，深化重点领域信息公开，不断拓宽信息公开范围和渠道，切实抓好政府信息公开各项工作的落实。</w:t>
      </w:r>
    </w:p>
    <w:p>
      <w:pPr>
        <w:widowControl/>
        <w:shd w:val="clear" w:color="auto" w:fill="FFFFFF"/>
        <w:spacing w:line="560" w:lineRule="exact"/>
        <w:ind w:firstLine="630" w:firstLineChars="196"/>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1、强化组织领导。</w:t>
      </w:r>
      <w:r>
        <w:rPr>
          <w:rFonts w:hint="eastAsia" w:ascii="仿宋_GB2312" w:hAnsi="微软雅黑" w:eastAsia="仿宋_GB2312" w:cs="宋体"/>
          <w:color w:val="333333"/>
          <w:kern w:val="0"/>
          <w:sz w:val="32"/>
          <w:szCs w:val="32"/>
        </w:rPr>
        <w:t>成立了由委党组书记、局长任组长，其他班子成员任副组长，各股室（单位）主要负责人为成员的市水利和湖泊政府信息公开工作领导小组，形成了主要领导负总责，分管领导为主抓，法规股具体牵头，各相关股室（单位）具体承办的工作机制。明确了专人负责信息公开工作，做到人员相对固定，职责相对明确。同时信息公开严格按流程报送，政务信息公开内容由相关科室（单位）提供并由办公室主任审核把关、局领导审定后，由法规股专职网管员负责信息公开资料的发布，确保信息公开内容的完整、准确，切实保障公民、法人和其他组织能及时便捷从我委获得政务信息。</w:t>
      </w:r>
    </w:p>
    <w:p>
      <w:pPr>
        <w:spacing w:line="560" w:lineRule="exact"/>
        <w:ind w:firstLine="630" w:firstLineChars="196"/>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2、抓好</w:t>
      </w:r>
      <w:r>
        <w:rPr>
          <w:rFonts w:ascii="仿宋_GB2312" w:hAnsi="微软雅黑" w:eastAsia="仿宋_GB2312" w:cs="宋体"/>
          <w:b/>
          <w:color w:val="333333"/>
          <w:kern w:val="0"/>
          <w:sz w:val="32"/>
          <w:szCs w:val="32"/>
        </w:rPr>
        <w:t>公开平台、渠道建设。</w:t>
      </w:r>
      <w:r>
        <w:rPr>
          <w:rFonts w:ascii="仿宋_GB2312" w:hAnsi="微软雅黑" w:eastAsia="仿宋_GB2312" w:cs="宋体"/>
          <w:color w:val="333333"/>
          <w:kern w:val="0"/>
          <w:sz w:val="32"/>
          <w:szCs w:val="32"/>
        </w:rPr>
        <w:t>我局认真参照市政府相关规定，结合</w:t>
      </w:r>
      <w:r>
        <w:rPr>
          <w:rFonts w:hint="eastAsia" w:ascii="仿宋_GB2312" w:hAnsi="微软雅黑" w:eastAsia="仿宋_GB2312" w:cs="宋体"/>
          <w:color w:val="333333"/>
          <w:kern w:val="0"/>
          <w:sz w:val="32"/>
          <w:szCs w:val="32"/>
        </w:rPr>
        <w:t>水利</w:t>
      </w:r>
      <w:r>
        <w:rPr>
          <w:rFonts w:ascii="仿宋_GB2312" w:hAnsi="微软雅黑" w:eastAsia="仿宋_GB2312" w:cs="宋体"/>
          <w:color w:val="333333"/>
          <w:kern w:val="0"/>
          <w:sz w:val="32"/>
          <w:szCs w:val="32"/>
        </w:rPr>
        <w:t>工作实际，组织专门工作人员对全局工作信息进行梳理，科学界定主动公开和不能公开的政府信息，通过中国</w:t>
      </w:r>
      <w:r>
        <w:rPr>
          <w:rFonts w:hint="eastAsia" w:ascii="仿宋_GB2312" w:hAnsi="微软雅黑" w:eastAsia="仿宋_GB2312" w:cs="宋体"/>
          <w:color w:val="333333"/>
          <w:kern w:val="0"/>
          <w:sz w:val="32"/>
          <w:szCs w:val="32"/>
        </w:rPr>
        <w:t>大冶市政府信息公开</w:t>
      </w:r>
      <w:r>
        <w:rPr>
          <w:rFonts w:ascii="仿宋_GB2312" w:hAnsi="微软雅黑" w:eastAsia="仿宋_GB2312" w:cs="宋体"/>
          <w:color w:val="333333"/>
          <w:kern w:val="0"/>
          <w:sz w:val="32"/>
          <w:szCs w:val="32"/>
        </w:rPr>
        <w:t>网站，将各项行政办理事项公开，不断加大政务公开宣传力度，在方便服务对象的同时，接受社会各界的监督。</w:t>
      </w:r>
    </w:p>
    <w:p>
      <w:pPr>
        <w:spacing w:line="560" w:lineRule="exact"/>
        <w:ind w:firstLine="630" w:firstLineChars="196"/>
        <w:rPr>
          <w:rFonts w:ascii="仿宋_GB2312" w:hAnsi="仿宋_GB2312" w:eastAsia="仿宋_GB2312" w:cs="仿宋_GB2312"/>
          <w:sz w:val="32"/>
          <w:szCs w:val="32"/>
        </w:rPr>
      </w:pPr>
      <w:r>
        <w:rPr>
          <w:rFonts w:hint="eastAsia" w:ascii="仿宋_GB2312" w:hAnsi="微软雅黑" w:eastAsia="仿宋_GB2312" w:cs="宋体"/>
          <w:b/>
          <w:color w:val="333333"/>
          <w:kern w:val="0"/>
          <w:sz w:val="32"/>
          <w:szCs w:val="32"/>
        </w:rPr>
        <w:t>3、做好政府信息公开重点工作。</w:t>
      </w:r>
      <w:r>
        <w:rPr>
          <w:rFonts w:hint="eastAsia" w:ascii="仿宋_GB2312" w:hAnsi="微软雅黑" w:eastAsia="仿宋_GB2312" w:cs="宋体"/>
          <w:color w:val="333333"/>
          <w:kern w:val="0"/>
          <w:sz w:val="32"/>
          <w:szCs w:val="32"/>
        </w:rPr>
        <w:t>对涉及公众利益调整、需要公众广泛知晓的政府信息，不折不扣主动</w:t>
      </w:r>
      <w:r>
        <w:rPr>
          <w:rFonts w:hint="eastAsia" w:ascii="仿宋_GB2312" w:hAnsi="微软雅黑" w:eastAsia="仿宋_GB2312" w:cs="宋体"/>
          <w:kern w:val="0"/>
          <w:sz w:val="32"/>
          <w:szCs w:val="32"/>
        </w:rPr>
        <w:t>公开，抓好落实，重点公开财政预决算、三公经费、行政许可等。</w:t>
      </w:r>
    </w:p>
    <w:p>
      <w:pPr>
        <w:pStyle w:val="6"/>
        <w:widowControl/>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二、主动公开政府信息情况</w:t>
      </w:r>
    </w:p>
    <w:p>
      <w:pPr>
        <w:pStyle w:val="6"/>
        <w:widowControl/>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在相应的信息公开栏中公开行政许可59件，行政处罚决定48件；行政强制处理1件，行政事业性收费1200万元。</w:t>
      </w:r>
    </w:p>
    <w:tbl>
      <w:tblPr>
        <w:tblStyle w:val="7"/>
        <w:tblW w:w="5000" w:type="pct"/>
        <w:jc w:val="center"/>
        <w:tblLayout w:type="autofit"/>
        <w:tblCellMar>
          <w:top w:w="0" w:type="dxa"/>
          <w:left w:w="0" w:type="dxa"/>
          <w:bottom w:w="0" w:type="dxa"/>
          <w:right w:w="0" w:type="dxa"/>
        </w:tblCellMar>
      </w:tblPr>
      <w:tblGrid>
        <w:gridCol w:w="2105"/>
        <w:gridCol w:w="2105"/>
        <w:gridCol w:w="2105"/>
        <w:gridCol w:w="2105"/>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现行有效件数</w:t>
            </w:r>
          </w:p>
        </w:tc>
      </w:tr>
      <w:tr>
        <w:tblPrEx>
          <w:tblCellMar>
            <w:top w:w="0" w:type="dxa"/>
            <w:left w:w="0" w:type="dxa"/>
            <w:bottom w:w="0" w:type="dxa"/>
            <w:right w:w="0" w:type="dxa"/>
          </w:tblCellMar>
        </w:tblPrEx>
        <w:trPr>
          <w:trHeight w:val="336"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kern w:val="0"/>
                <w:szCs w:val="21"/>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kern w:val="0"/>
                <w:szCs w:val="21"/>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kern w:val="0"/>
                <w:szCs w:val="21"/>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szCs w:val="21"/>
              </w:rPr>
              <w:t>48</w:t>
            </w:r>
          </w:p>
        </w:tc>
      </w:tr>
      <w:tr>
        <w:tblPrEx>
          <w:tblCellMar>
            <w:top w:w="0" w:type="dxa"/>
            <w:left w:w="0" w:type="dxa"/>
            <w:bottom w:w="0" w:type="dxa"/>
            <w:right w:w="0" w:type="dxa"/>
          </w:tblCellMar>
        </w:tblPrEx>
        <w:trPr>
          <w:trHeight w:val="325"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kern w:val="0"/>
                <w:szCs w:val="21"/>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kern w:val="0"/>
                <w:szCs w:val="21"/>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szCs w:val="21"/>
              </w:rPr>
              <w:t>1</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kern w:val="0"/>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kern w:val="0"/>
                <w:szCs w:val="21"/>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hAnsi="宋体" w:eastAsia="宋体" w:cs="宋体"/>
                <w:szCs w:val="21"/>
              </w:rPr>
            </w:pPr>
            <w:r>
              <w:rPr>
                <w:rFonts w:hint="eastAsia" w:ascii="Calibri" w:hAnsi="Calibri" w:eastAsia="宋体" w:cs="Calibri"/>
                <w:szCs w:val="21"/>
              </w:rPr>
              <w:t>1315.73</w:t>
            </w:r>
          </w:p>
        </w:tc>
      </w:tr>
    </w:tbl>
    <w:p>
      <w:pPr>
        <w:widowControl/>
        <w:jc w:val="left"/>
      </w:pPr>
    </w:p>
    <w:p>
      <w:pPr>
        <w:pStyle w:val="6"/>
        <w:widowControl/>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6"/>
        <w:widowControl/>
        <w:spacing w:line="360" w:lineRule="auto"/>
        <w:ind w:firstLine="640" w:firstLineChars="200"/>
        <w:jc w:val="both"/>
        <w:rPr>
          <w:rFonts w:ascii="仿宋" w:hAnsi="仿宋" w:eastAsia="仿宋" w:cs="仿宋"/>
          <w:sz w:val="32"/>
          <w:szCs w:val="32"/>
        </w:rPr>
      </w:pPr>
      <w:r>
        <w:rPr>
          <w:rFonts w:hint="eastAsia" w:ascii="仿宋_GB2312" w:hAnsi="仿宋_GB2312" w:eastAsia="仿宋_GB2312" w:cs="仿宋_GB2312"/>
          <w:sz w:val="32"/>
          <w:szCs w:val="32"/>
        </w:rPr>
        <w:t>2021年度未收到和处理政府信息公开申请。</w:t>
      </w:r>
    </w:p>
    <w:tbl>
      <w:tblPr>
        <w:tblStyle w:val="7"/>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29"/>
        <w:gridCol w:w="771"/>
        <w:gridCol w:w="2765"/>
        <w:gridCol w:w="573"/>
        <w:gridCol w:w="573"/>
        <w:gridCol w:w="573"/>
        <w:gridCol w:w="573"/>
        <w:gridCol w:w="573"/>
        <w:gridCol w:w="594"/>
        <w:gridCol w:w="5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jc w:val="left"/>
            </w:pPr>
            <w:r>
              <w:rPr>
                <w:rFonts w:hint="eastAsia" w:ascii="楷体" w:hAnsi="楷体" w:eastAsia="楷体" w:cs="楷体"/>
                <w:kern w:val="0"/>
                <w:sz w:val="20"/>
                <w:szCs w:val="20"/>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szCs w:val="21"/>
              </w:rPr>
            </w:pP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商业</w:t>
            </w:r>
          </w:p>
          <w:p>
            <w:pPr>
              <w:widowControl/>
              <w:spacing w:line="30" w:lineRule="atLeast"/>
              <w:jc w:val="center"/>
              <w:rPr>
                <w:rFonts w:ascii="宋体" w:hAnsi="宋体" w:eastAsia="宋体" w:cs="宋体"/>
                <w:szCs w:val="21"/>
              </w:rPr>
            </w:pPr>
            <w:r>
              <w:rPr>
                <w:rFonts w:hint="eastAsia" w:ascii="宋体" w:hAnsi="宋体" w:eastAsia="宋体" w:cs="宋体"/>
                <w:kern w:val="0"/>
                <w:szCs w:val="21"/>
              </w:rPr>
              <w:t>企业</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科研</w:t>
            </w:r>
          </w:p>
          <w:p>
            <w:pPr>
              <w:widowControl/>
              <w:spacing w:line="30" w:lineRule="atLeast"/>
              <w:jc w:val="center"/>
              <w:rPr>
                <w:rFonts w:ascii="宋体" w:hAnsi="宋体" w:eastAsia="宋体" w:cs="宋体"/>
                <w:szCs w:val="21"/>
              </w:rPr>
            </w:pPr>
            <w:r>
              <w:rPr>
                <w:rFonts w:hint="eastAsia" w:ascii="宋体" w:hAnsi="宋体" w:eastAsia="宋体" w:cs="宋体"/>
                <w:kern w:val="0"/>
                <w:szCs w:val="21"/>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ascii="宋体" w:hAnsi="宋体" w:eastAsia="宋体" w:cs="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（一）予以公开</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（三）不予公开</w:t>
            </w: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1.属于国家秘密</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3.危及“三安全一稳定”</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4.保护第三方合法权益</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6.属于四类过程性信息</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7.属于行政执法案卷</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8.属于行政查询事项</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（四）无法提供</w:t>
            </w: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287"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3.补正后申请内容仍不明确</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（五）不予处理</w:t>
            </w: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1.信访举报投诉类申请</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2.重复申请</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3.要求提供公开出版物</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outset" w:color="auto" w:sz="6"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kern w:val="0"/>
                <w:szCs w:val="21"/>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（六）其他处理</w:t>
            </w:r>
          </w:p>
        </w:tc>
        <w:tc>
          <w:tcPr>
            <w:tcW w:w="1681"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kern w:val="0"/>
                <w:szCs w:val="21"/>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kern w:val="0"/>
                <w:szCs w:val="21"/>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1681"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3.其他</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（七）总计</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kern w:val="0"/>
                <w:szCs w:val="21"/>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49"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6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c>
          <w:tcPr>
            <w:tcW w:w="358"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kern w:val="0"/>
                <w:szCs w:val="21"/>
              </w:rPr>
              <w:t>0</w:t>
            </w:r>
          </w:p>
        </w:tc>
      </w:tr>
    </w:tbl>
    <w:p>
      <w:pPr>
        <w:pStyle w:val="6"/>
        <w:widowControl/>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pStyle w:val="6"/>
        <w:widowControl/>
        <w:spacing w:line="360" w:lineRule="auto"/>
        <w:ind w:firstLine="640" w:firstLineChars="200"/>
        <w:jc w:val="both"/>
        <w:rPr>
          <w:rFonts w:ascii="仿宋" w:hAnsi="仿宋" w:eastAsia="仿宋" w:cs="仿宋"/>
          <w:sz w:val="32"/>
          <w:szCs w:val="32"/>
        </w:rPr>
      </w:pPr>
      <w:r>
        <w:rPr>
          <w:rFonts w:hint="eastAsia" w:ascii="仿宋_GB2312" w:hAnsi="仿宋_GB2312" w:eastAsia="仿宋_GB2312" w:cs="仿宋_GB2312"/>
          <w:sz w:val="32"/>
          <w:szCs w:val="32"/>
        </w:rPr>
        <w:t>2021年度未发生针对本部门有关政府信息公开事务的行政复议案和行政诉讼案。</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spacing w:line="30" w:lineRule="atLeast"/>
              <w:jc w:val="center"/>
            </w:pPr>
            <w:r>
              <w:rPr>
                <w:rFonts w:hint="eastAsia" w:ascii="宋体" w:hAnsi="宋体" w:eastAsia="宋体" w:cs="宋体"/>
                <w:kern w:val="0"/>
                <w:sz w:val="20"/>
                <w:szCs w:val="20"/>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spacing w:line="30" w:lineRule="atLeast"/>
              <w:jc w:val="center"/>
            </w:pPr>
            <w:r>
              <w:rPr>
                <w:rFonts w:hint="eastAsia" w:ascii="宋体" w:hAnsi="宋体" w:eastAsia="宋体" w:cs="宋体"/>
                <w:kern w:val="0"/>
                <w:sz w:val="20"/>
                <w:szCs w:val="20"/>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spacing w:line="30" w:lineRule="atLeast"/>
              <w:jc w:val="center"/>
            </w:pPr>
            <w:r>
              <w:rPr>
                <w:rFonts w:hint="eastAsia" w:ascii="宋体" w:hAnsi="宋体" w:eastAsia="宋体" w:cs="宋体"/>
                <w:kern w:val="0"/>
                <w:sz w:val="20"/>
                <w:szCs w:val="20"/>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spacing w:line="30" w:lineRule="atLeast"/>
              <w:jc w:val="center"/>
            </w:pPr>
            <w:r>
              <w:rPr>
                <w:rFonts w:hint="eastAsia" w:ascii="宋体" w:hAnsi="宋体" w:eastAsia="宋体" w:cs="宋体"/>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spacing w:line="30" w:lineRule="atLeast"/>
              <w:jc w:val="center"/>
            </w:pPr>
            <w:r>
              <w:rPr>
                <w:rFonts w:hint="eastAsia" w:ascii="宋体" w:hAnsi="宋体" w:eastAsia="宋体" w:cs="宋体"/>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spacing w:line="30" w:lineRule="atLeast"/>
              <w:jc w:val="center"/>
            </w:pPr>
            <w:r>
              <w:rPr>
                <w:rFonts w:hint="eastAsia" w:ascii="宋体" w:hAnsi="宋体" w:eastAsia="宋体" w:cs="宋体"/>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spacing w:line="30" w:lineRule="atLeast"/>
              <w:jc w:val="center"/>
            </w:pPr>
            <w:r>
              <w:rPr>
                <w:rFonts w:hint="eastAsia" w:ascii="宋体" w:hAnsi="宋体" w:eastAsia="宋体" w:cs="宋体"/>
                <w:kern w:val="0"/>
                <w:sz w:val="20"/>
                <w:szCs w:val="20"/>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spacing w:line="30" w:lineRule="atLeast"/>
              <w:jc w:val="center"/>
            </w:pPr>
            <w:r>
              <w:rPr>
                <w:rFonts w:hint="eastAsia" w:ascii="宋体" w:hAnsi="宋体" w:eastAsia="宋体" w:cs="宋体"/>
                <w:kern w:val="0"/>
                <w:sz w:val="20"/>
                <w:szCs w:val="20"/>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spacing w:line="30" w:lineRule="atLeast"/>
              <w:jc w:val="center"/>
            </w:pPr>
            <w:r>
              <w:rPr>
                <w:rFonts w:hint="eastAsia" w:ascii="宋体" w:hAnsi="宋体" w:eastAsia="宋体" w:cs="宋体"/>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spacing w:line="30" w:lineRule="atLeast"/>
              <w:jc w:val="center"/>
            </w:pPr>
            <w:r>
              <w:rPr>
                <w:rFonts w:hint="eastAsia" w:ascii="宋体" w:hAnsi="宋体" w:eastAsia="宋体" w:cs="宋体"/>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spacing w:line="30" w:lineRule="atLeast"/>
              <w:jc w:val="center"/>
            </w:pPr>
            <w:r>
              <w:rPr>
                <w:rFonts w:hint="eastAsia" w:ascii="宋体" w:hAnsi="宋体" w:eastAsia="宋体" w:cs="宋体"/>
                <w:kern w:val="0"/>
                <w:sz w:val="20"/>
                <w:szCs w:val="20"/>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sz w:val="20"/>
                <w:szCs w:val="20"/>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szCs w:val="21"/>
              </w:rPr>
            </w:pPr>
            <w:r>
              <w:rPr>
                <w:rFonts w:hint="eastAsia" w:ascii="黑体" w:hAnsi="宋体" w:eastAsia="黑体" w:cs="黑体"/>
                <w:sz w:val="20"/>
                <w:szCs w:val="20"/>
              </w:rPr>
              <w:t>0</w:t>
            </w:r>
          </w:p>
        </w:tc>
      </w:tr>
    </w:tbl>
    <w:p>
      <w:pPr>
        <w:widowControl/>
        <w:jc w:val="left"/>
      </w:pPr>
    </w:p>
    <w:p>
      <w:pPr>
        <w:pStyle w:val="6"/>
        <w:widowControl/>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五、存在的主要问题及改进情况</w:t>
      </w:r>
    </w:p>
    <w:p>
      <w:pPr>
        <w:pStyle w:val="6"/>
        <w:shd w:val="clear" w:color="auto" w:fill="FFFFFF"/>
        <w:spacing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2021年，我局政府信息公开工作虽然取得了新的进展，但与市委市政府的要求和公众的需求还存在一定差距，主要表现在：</w:t>
      </w:r>
      <w:r>
        <w:rPr>
          <w:rFonts w:hint="eastAsia" w:ascii="仿宋_GB2312" w:hAnsi="微软雅黑" w:eastAsia="仿宋_GB2312"/>
          <w:b/>
          <w:color w:val="333333"/>
          <w:sz w:val="32"/>
          <w:szCs w:val="32"/>
        </w:rPr>
        <w:t>一是</w:t>
      </w:r>
      <w:r>
        <w:rPr>
          <w:rFonts w:hint="eastAsia" w:ascii="仿宋_GB2312" w:hAnsi="微软雅黑" w:eastAsia="仿宋_GB2312"/>
          <w:color w:val="333333"/>
          <w:sz w:val="32"/>
          <w:szCs w:val="32"/>
        </w:rPr>
        <w:t>信息公开栏目设置、信息公开及时性等方面还需不断改进，</w:t>
      </w:r>
      <w:r>
        <w:rPr>
          <w:rFonts w:hint="eastAsia" w:ascii="仿宋_GB2312" w:hAnsi="微软雅黑" w:eastAsia="仿宋_GB2312"/>
          <w:b/>
          <w:color w:val="333333"/>
          <w:sz w:val="32"/>
          <w:szCs w:val="32"/>
        </w:rPr>
        <w:t>二是</w:t>
      </w:r>
      <w:r>
        <w:rPr>
          <w:rFonts w:hint="eastAsia" w:ascii="仿宋_GB2312" w:hAnsi="微软雅黑" w:eastAsia="仿宋_GB2312"/>
          <w:color w:val="333333"/>
          <w:sz w:val="32"/>
          <w:szCs w:val="32"/>
        </w:rPr>
        <w:t>相关的工作机制和制度还有待进一步完善。</w:t>
      </w:r>
      <w:r>
        <w:rPr>
          <w:rFonts w:hint="eastAsia" w:ascii="仿宋_GB2312" w:hAnsi="微软雅黑" w:eastAsia="仿宋_GB2312"/>
          <w:b/>
          <w:color w:val="333333"/>
          <w:sz w:val="32"/>
          <w:szCs w:val="32"/>
        </w:rPr>
        <w:t>三是</w:t>
      </w:r>
      <w:r>
        <w:rPr>
          <w:rFonts w:hint="eastAsia" w:ascii="仿宋_GB2312" w:hAnsi="微软雅黑" w:eastAsia="仿宋_GB2312"/>
          <w:color w:val="333333"/>
          <w:sz w:val="32"/>
          <w:szCs w:val="32"/>
        </w:rPr>
        <w:t>政务公开的标准化程度不够高，信息公开平台在资源整合、内容发布及功能设计上还需进一步优化加强。</w:t>
      </w:r>
    </w:p>
    <w:p>
      <w:pPr>
        <w:pStyle w:val="6"/>
        <w:shd w:val="clear" w:color="auto" w:fill="FFFFFF"/>
        <w:spacing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下一步，我局将按照市委市政府的统一部署，进一步提升工作透明度和行政效能，从以下方面持续推进政府信息公开工作开展：</w:t>
      </w:r>
      <w:r>
        <w:rPr>
          <w:rFonts w:hint="eastAsia" w:ascii="仿宋_GB2312" w:hAnsi="微软雅黑" w:eastAsia="仿宋_GB2312"/>
          <w:b/>
          <w:color w:val="333333"/>
          <w:sz w:val="32"/>
          <w:szCs w:val="32"/>
        </w:rPr>
        <w:t>一是</w:t>
      </w:r>
      <w:r>
        <w:rPr>
          <w:rFonts w:hint="eastAsia" w:ascii="仿宋_GB2312" w:hAnsi="微软雅黑" w:eastAsia="仿宋_GB2312"/>
          <w:color w:val="333333"/>
          <w:sz w:val="32"/>
          <w:szCs w:val="32"/>
        </w:rPr>
        <w:t>进一步提高深化政务公开、加强政务服务重要性的认识。</w:t>
      </w:r>
      <w:r>
        <w:rPr>
          <w:rFonts w:hint="eastAsia" w:ascii="仿宋_GB2312" w:hAnsi="微软雅黑" w:eastAsia="仿宋_GB2312"/>
          <w:b/>
          <w:color w:val="333333"/>
          <w:sz w:val="32"/>
          <w:szCs w:val="32"/>
        </w:rPr>
        <w:t>二是</w:t>
      </w:r>
      <w:r>
        <w:rPr>
          <w:rFonts w:hint="eastAsia" w:ascii="仿宋_GB2312" w:hAnsi="微软雅黑" w:eastAsia="仿宋_GB2312"/>
          <w:color w:val="333333"/>
          <w:sz w:val="32"/>
          <w:szCs w:val="32"/>
        </w:rPr>
        <w:t>突出工作重点，加强栏目内容的建设，加大政府信息采集和发布力度，丰富公开内容，力求信息发布的真实、全面。</w:t>
      </w:r>
      <w:r>
        <w:rPr>
          <w:rFonts w:hint="eastAsia" w:ascii="仿宋_GB2312" w:hAnsi="微软雅黑" w:eastAsia="仿宋_GB2312"/>
          <w:b/>
          <w:color w:val="333333"/>
          <w:sz w:val="32"/>
          <w:szCs w:val="32"/>
        </w:rPr>
        <w:t>三是</w:t>
      </w:r>
      <w:r>
        <w:rPr>
          <w:rFonts w:hint="eastAsia" w:ascii="仿宋_GB2312" w:hAnsi="微软雅黑" w:eastAsia="仿宋_GB2312"/>
          <w:color w:val="333333"/>
          <w:sz w:val="32"/>
          <w:szCs w:val="32"/>
        </w:rPr>
        <w:t>持续拓展公开载体，丰富公众获取信息渠道，加强网站功能建设，进一步提高网络便民、网上办事的服务能力。</w:t>
      </w:r>
      <w:r>
        <w:rPr>
          <w:rFonts w:hint="eastAsia" w:ascii="仿宋_GB2312" w:hAnsi="微软雅黑" w:eastAsia="仿宋_GB2312"/>
          <w:b/>
          <w:color w:val="333333"/>
          <w:sz w:val="32"/>
          <w:szCs w:val="32"/>
        </w:rPr>
        <w:t>四是</w:t>
      </w:r>
      <w:r>
        <w:rPr>
          <w:rFonts w:hint="eastAsia" w:ascii="仿宋_GB2312" w:hAnsi="微软雅黑" w:eastAsia="仿宋_GB2312"/>
          <w:color w:val="333333"/>
          <w:sz w:val="32"/>
          <w:szCs w:val="32"/>
        </w:rPr>
        <w:t>进一步强化信息公开领导小组办公室职能，加强信息公开工作督促检查，保证及时更新，提高信息公开质量。</w:t>
      </w:r>
    </w:p>
    <w:p>
      <w:pPr>
        <w:pStyle w:val="6"/>
        <w:widowControl/>
        <w:spacing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六、其他需要报告的事项</w:t>
      </w:r>
    </w:p>
    <w:p>
      <w:pPr>
        <w:pStyle w:val="6"/>
        <w:widowControl/>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2021年，我局无其他需要报告的事项。</w:t>
      </w:r>
    </w:p>
    <w:p>
      <w:pPr>
        <w:pStyle w:val="6"/>
        <w:widowControl/>
        <w:spacing w:line="360" w:lineRule="auto"/>
        <w:jc w:val="both"/>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130D7F-50D2-43B9-AFC9-5335963D6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FDA04B-83B0-4FA5-B27F-0D9C88D833CA}"/>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3" w:fontKey="{DEDB562D-92C5-4697-92AF-0EB12223886B}"/>
  </w:font>
  <w:font w:name="仿宋_GB2312">
    <w:panose1 w:val="02010609030101010101"/>
    <w:charset w:val="86"/>
    <w:family w:val="modern"/>
    <w:pitch w:val="default"/>
    <w:sig w:usb0="00000001" w:usb1="080E0000" w:usb2="00000000" w:usb3="00000000" w:csb0="00040000" w:csb1="00000000"/>
    <w:embedRegular r:id="rId4" w:fontKey="{C63498DC-A03B-451F-8CF4-EB607414C413}"/>
  </w:font>
  <w:font w:name="微软雅黑">
    <w:panose1 w:val="020B0503020204020204"/>
    <w:charset w:val="86"/>
    <w:family w:val="swiss"/>
    <w:pitch w:val="default"/>
    <w:sig w:usb0="80000287" w:usb1="2ACF3C50" w:usb2="00000016" w:usb3="00000000" w:csb0="0004001F" w:csb1="00000000"/>
    <w:embedRegular r:id="rId5" w:fontKey="{0184933A-7C88-4407-838D-FD5D9B9A8E28}"/>
  </w:font>
  <w:font w:name="仿宋">
    <w:panose1 w:val="02010609060101010101"/>
    <w:charset w:val="86"/>
    <w:family w:val="modern"/>
    <w:pitch w:val="default"/>
    <w:sig w:usb0="800002BF" w:usb1="38CF7CFA" w:usb2="00000016" w:usb3="00000000" w:csb0="00040001" w:csb1="00000000"/>
    <w:embedRegular r:id="rId6" w:fontKey="{8BD2E17F-9A24-4C8C-ADFA-53DA9D995CAE}"/>
  </w:font>
  <w:font w:name="楷体">
    <w:panose1 w:val="02010609060101010101"/>
    <w:charset w:val="86"/>
    <w:family w:val="modern"/>
    <w:pitch w:val="default"/>
    <w:sig w:usb0="800002BF" w:usb1="38CF7CFA" w:usb2="00000016" w:usb3="00000000" w:csb0="00040001" w:csb1="00000000"/>
    <w:embedRegular r:id="rId7" w:fontKey="{012FC810-DCAF-4BAC-9AFD-E16772005D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38B1E27"/>
    <w:rsid w:val="001B1482"/>
    <w:rsid w:val="00847B21"/>
    <w:rsid w:val="008848D6"/>
    <w:rsid w:val="009B6866"/>
    <w:rsid w:val="009F4745"/>
    <w:rsid w:val="00BA26FD"/>
    <w:rsid w:val="00DA6B73"/>
    <w:rsid w:val="16520BC2"/>
    <w:rsid w:val="238B1E27"/>
    <w:rsid w:val="246E2621"/>
    <w:rsid w:val="380214FF"/>
    <w:rsid w:val="38A76573"/>
    <w:rsid w:val="397119C0"/>
    <w:rsid w:val="51C43C9C"/>
    <w:rsid w:val="71162194"/>
    <w:rsid w:val="79FB1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9"/>
    <w:semiHidden/>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customStyle="1" w:styleId="9">
    <w:name w:val="标题 4 Char"/>
    <w:link w:val="3"/>
    <w:uiPriority w:val="0"/>
    <w:rPr>
      <w:rFonts w:ascii="Arial" w:hAnsi="Arial" w:eastAsia="黑体"/>
      <w:b/>
      <w:sz w:val="28"/>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407</Words>
  <Characters>2325</Characters>
  <Lines>19</Lines>
  <Paragraphs>5</Paragraphs>
  <TotalTime>113</TotalTime>
  <ScaleCrop>false</ScaleCrop>
  <LinksUpToDate>false</LinksUpToDate>
  <CharactersWithSpaces>2727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仔仔爸。</cp:lastModifiedBy>
  <dcterms:modified xsi:type="dcterms:W3CDTF">2022-02-24T05:03:38Z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777F53E91E564B3B96F5A1A435D08748</vt:lpwstr>
  </property>
</Properties>
</file>