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市住房和城乡建设局202</w:t>
      </w:r>
      <w:r>
        <w:rPr>
          <w:rFonts w:hint="eastAsia" w:ascii="方正小标宋简体" w:hAnsi="方正小标宋简体" w:eastAsia="方正小标宋简体" w:cs="方正小标宋简体"/>
          <w:b w:val="0"/>
          <w:bCs w:val="0"/>
          <w:color w:val="auto"/>
          <w:sz w:val="44"/>
          <w:szCs w:val="44"/>
          <w:lang w:val="en-US" w:eastAsia="zh-CN"/>
        </w:rPr>
        <w:t>1</w:t>
      </w:r>
      <w:r>
        <w:rPr>
          <w:rFonts w:hint="eastAsia" w:ascii="方正小标宋简体" w:hAnsi="方正小标宋简体" w:eastAsia="方正小标宋简体" w:cs="方正小标宋简体"/>
          <w:b w:val="0"/>
          <w:bCs w:val="0"/>
          <w:color w:val="auto"/>
          <w:sz w:val="44"/>
          <w:szCs w:val="44"/>
        </w:rPr>
        <w:t>年政府信息公开</w:t>
      </w:r>
    </w:p>
    <w:p>
      <w:pPr>
        <w:spacing w:line="56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工作年度报告</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仿宋_GB2312" w:hAnsi="仿宋_GB2312" w:eastAsia="仿宋_GB2312" w:cs="仿宋_GB2312"/>
          <w:color w:val="auto"/>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仿宋_GB2312" w:hAnsi="仿宋_GB2312" w:eastAsia="仿宋_GB2312" w:cs="仿宋_GB2312"/>
          <w:color w:val="auto"/>
          <w:kern w:val="0"/>
          <w:sz w:val="19"/>
          <w:szCs w:val="19"/>
        </w:rPr>
      </w:pPr>
      <w:r>
        <w:rPr>
          <w:rFonts w:hint="eastAsia" w:ascii="仿宋_GB2312" w:hAnsi="仿宋_GB2312" w:eastAsia="仿宋_GB2312" w:cs="仿宋_GB2312"/>
          <w:color w:val="auto"/>
          <w:kern w:val="0"/>
          <w:sz w:val="32"/>
          <w:szCs w:val="32"/>
          <w:shd w:val="clear" w:color="auto" w:fill="FFFFFF"/>
        </w:rPr>
        <w:t>根据《中华人民共和国政府信息公开条例》、《国务院办公厅政府信息与政务公开办公室关于政府信息公开工作年度报告有关事项的通知》（国办公开办函〔2019〕60号）、</w:t>
      </w:r>
      <w:r>
        <w:rPr>
          <w:rFonts w:hint="eastAsia" w:ascii="仿宋_GB2312" w:hAnsi="仿宋_GB2312" w:eastAsia="仿宋_GB2312" w:cs="仿宋_GB2312"/>
          <w:color w:val="auto"/>
          <w:kern w:val="0"/>
          <w:sz w:val="32"/>
          <w:szCs w:val="32"/>
          <w:shd w:val="clear" w:color="auto" w:fill="FFFFFF"/>
          <w:lang w:val="en-US" w:eastAsia="zh-CN"/>
        </w:rPr>
        <w:t>黄石市政务公开领导小组办公室</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val="en-US" w:eastAsia="zh-CN"/>
        </w:rPr>
        <w:t>关于做好2021</w:t>
      </w:r>
      <w:r>
        <w:rPr>
          <w:rFonts w:hint="eastAsia" w:ascii="仿宋_GB2312" w:hAnsi="仿宋_GB2312" w:eastAsia="仿宋_GB2312" w:cs="仿宋_GB2312"/>
          <w:color w:val="auto"/>
          <w:kern w:val="0"/>
          <w:sz w:val="32"/>
          <w:szCs w:val="32"/>
          <w:shd w:val="clear" w:color="auto" w:fill="FFFFFF"/>
        </w:rPr>
        <w:t>年政府信息公开工作年度报告</w:t>
      </w:r>
      <w:r>
        <w:rPr>
          <w:rFonts w:hint="eastAsia" w:ascii="仿宋_GB2312" w:hAnsi="仿宋_GB2312" w:eastAsia="仿宋_GB2312" w:cs="仿宋_GB2312"/>
          <w:color w:val="auto"/>
          <w:kern w:val="0"/>
          <w:sz w:val="32"/>
          <w:szCs w:val="32"/>
          <w:shd w:val="clear" w:color="auto" w:fill="FFFFFF"/>
          <w:lang w:val="en-US" w:eastAsia="zh-CN"/>
        </w:rPr>
        <w:t>编制和发布工作</w:t>
      </w:r>
      <w:r>
        <w:rPr>
          <w:rFonts w:hint="eastAsia" w:ascii="仿宋_GB2312" w:hAnsi="仿宋_GB2312" w:eastAsia="仿宋_GB2312" w:cs="仿宋_GB2312"/>
          <w:color w:val="auto"/>
          <w:kern w:val="0"/>
          <w:sz w:val="32"/>
          <w:szCs w:val="32"/>
          <w:shd w:val="clear" w:color="auto" w:fill="FFFFFF"/>
        </w:rPr>
        <w:t>的通知》文件要求，现结合住房和城乡事业管理实际，编制本部门202</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rPr>
        <w:t>年度政府信息公开工作报告如下：</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黑体" w:hAnsi="黑体" w:eastAsia="黑体" w:cs="黑体"/>
          <w:color w:val="auto"/>
          <w:kern w:val="0"/>
          <w:sz w:val="19"/>
          <w:szCs w:val="19"/>
        </w:rPr>
      </w:pPr>
      <w:r>
        <w:rPr>
          <w:rFonts w:hint="eastAsia" w:ascii="黑体" w:hAnsi="黑体" w:eastAsia="黑体" w:cs="黑体"/>
          <w:color w:val="auto"/>
          <w:kern w:val="0"/>
          <w:sz w:val="32"/>
          <w:szCs w:val="32"/>
        </w:rPr>
        <w:t>一、总体情况</w:t>
      </w:r>
    </w:p>
    <w:p>
      <w:pPr>
        <w:keepNext w:val="0"/>
        <w:keepLines w:val="0"/>
        <w:pageBreakBefore w:val="0"/>
        <w:widowControl/>
        <w:shd w:val="clear" w:color="auto" w:fill="FFFFFF"/>
        <w:kinsoku/>
        <w:wordWrap/>
        <w:overflowPunct/>
        <w:topLinePunct w:val="0"/>
        <w:autoSpaceDE/>
        <w:autoSpaceDN/>
        <w:bidi w:val="0"/>
        <w:spacing w:line="240" w:lineRule="auto"/>
        <w:ind w:firstLine="627"/>
        <w:textAlignment w:val="auto"/>
        <w:rPr>
          <w:rFonts w:hint="eastAsia" w:ascii="仿宋_GB2312" w:hAnsi="仿宋_GB2312" w:eastAsia="仿宋_GB2312" w:cs="仿宋_GB2312"/>
          <w:color w:val="auto"/>
          <w:kern w:val="0"/>
          <w:sz w:val="19"/>
          <w:szCs w:val="19"/>
        </w:rPr>
      </w:pPr>
      <w:r>
        <w:rPr>
          <w:rFonts w:hint="eastAsia" w:ascii="仿宋_GB2312" w:hAnsi="仿宋_GB2312" w:eastAsia="仿宋_GB2312" w:cs="仿宋_GB2312"/>
          <w:color w:val="auto"/>
          <w:kern w:val="0"/>
          <w:sz w:val="32"/>
          <w:szCs w:val="32"/>
          <w:shd w:val="clear" w:color="auto" w:fill="FFFFFF"/>
        </w:rPr>
        <w:t>202</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rPr>
        <w:t>年，大冶市住房和城乡建设局认真贯彻实施《中华人民共和国政府信息公开条例》和政府信息公开工作的相关文件、会议精神，扎实开展政府信息公开工作，牢牢掌控网络意识形态主导权，积极利用社会媒体、门户网站、湖北政务服务网等网站开展政府信息公开工作,为确保政府信息公开工作的有序推进，落实到位，将政府信息与政务公开作为我局重要日常工作，建立政府信息公开工作机制，制定了《大冶市住房和城乡建设局政府信息公开工作实施方案》，成立了政府信息公开工作领导小组，确定由局长为组长，班子成员为副组长，各股室、站（所）负责人为成员，领导小组下设办公室，主要依托在局办公室，由局办公室牵头负责组织协调全局政府信息公开日常工作。同时组织工作领导小组成员以会代训的形式学习《政府信息公开条例》，要求把政府信息公开作为机关效能建设的一项重要工作来抓，贯彻公正、公平、便民、及时、准确的政府信息公开原则，完善各项制度，规范公开载体，更好地为公民、法人和其他组织提供政府信息公开服务。本报告中所列数据的统计阶段为202</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rPr>
        <w:t>年1月1日起至202</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rPr>
        <w:t>年1</w:t>
      </w: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rPr>
        <w:t>月3</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rPr>
        <w:t>日。本报告在大冶市政府网网站（http://www.hbdaye.gov.cn/)进行发布。如疑问或意见建议，可与大冶市住房和城乡建设局办公室联系，联系地址：湖北省大冶市</w:t>
      </w:r>
      <w:r>
        <w:rPr>
          <w:rFonts w:hint="eastAsia" w:ascii="仿宋_GB2312" w:hAnsi="仿宋_GB2312" w:eastAsia="仿宋_GB2312" w:cs="仿宋_GB2312"/>
          <w:color w:val="auto"/>
          <w:kern w:val="0"/>
          <w:sz w:val="32"/>
          <w:szCs w:val="32"/>
        </w:rPr>
        <w:t>住房和城乡建设局办公室</w:t>
      </w:r>
      <w:r>
        <w:rPr>
          <w:rFonts w:hint="eastAsia" w:ascii="仿宋_GB2312" w:hAnsi="仿宋_GB2312" w:eastAsia="仿宋_GB2312" w:cs="仿宋_GB2312"/>
          <w:color w:val="auto"/>
          <w:kern w:val="0"/>
          <w:sz w:val="32"/>
          <w:szCs w:val="32"/>
          <w:shd w:val="clear" w:color="auto" w:fill="FFFFFF"/>
        </w:rPr>
        <w:t>，邮编：435100，电话：0714-8770555。</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二、主动公开政府信息情况</w:t>
      </w: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本年制发件数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color w:val="auto"/>
                <w:sz w:val="21"/>
                <w:szCs w:val="21"/>
              </w:rPr>
            </w:pPr>
            <w:r>
              <w:rPr>
                <w:rFonts w:hint="eastAsia" w:ascii="宋体" w:hAnsi="宋体" w:eastAsia="宋体" w:cs="宋体"/>
                <w:color w:val="auto"/>
                <w:kern w:val="0"/>
                <w:sz w:val="21"/>
                <w:szCs w:val="21"/>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color w:val="auto"/>
                <w:sz w:val="21"/>
                <w:szCs w:val="21"/>
                <w:lang w:val="en-US"/>
              </w:rPr>
            </w:pPr>
            <w:r>
              <w:rPr>
                <w:rFonts w:hint="eastAsia" w:ascii="宋体" w:hAnsi="宋体" w:eastAsia="宋体" w:cs="宋体"/>
                <w:color w:val="auto"/>
                <w:kern w:val="0"/>
                <w:sz w:val="21"/>
                <w:szCs w:val="21"/>
                <w:lang w:val="en-US" w:eastAsia="zh-CN" w:bidi="ar"/>
              </w:rPr>
              <w:t>　　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color w:val="auto"/>
                <w:sz w:val="21"/>
                <w:szCs w:val="21"/>
                <w:lang w:val="en-US"/>
              </w:rPr>
            </w:pPr>
            <w:r>
              <w:rPr>
                <w:rFonts w:hint="eastAsia" w:ascii="宋体" w:hAnsi="宋体" w:eastAsia="宋体" w:cs="宋体"/>
                <w:color w:val="auto"/>
                <w:kern w:val="0"/>
                <w:sz w:val="21"/>
                <w:szCs w:val="21"/>
                <w:lang w:val="en-US" w:eastAsia="zh-CN" w:bidi="ar"/>
              </w:rPr>
              <w:t> 　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color w:val="auto"/>
                <w:sz w:val="21"/>
                <w:szCs w:val="21"/>
                <w:lang w:val="en-US"/>
              </w:rPr>
            </w:pPr>
            <w:r>
              <w:rPr>
                <w:rFonts w:ascii="Calibri" w:hAnsi="Calibri" w:eastAsia="宋体" w:cs="Calibri"/>
                <w:color w:val="auto"/>
                <w:kern w:val="2"/>
                <w:sz w:val="21"/>
                <w:szCs w:val="21"/>
                <w:lang w:val="en-US" w:eastAsia="zh-CN" w:bidi="ar"/>
              </w:rPr>
              <w:t> </w:t>
            </w:r>
            <w:r>
              <w:rPr>
                <w:rFonts w:hint="eastAsia" w:ascii="Calibri" w:hAnsi="Calibri" w:eastAsia="宋体" w:cs="Calibri"/>
                <w:color w:val="auto"/>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color w:val="auto"/>
                <w:sz w:val="21"/>
                <w:szCs w:val="21"/>
              </w:rPr>
            </w:pPr>
            <w:r>
              <w:rPr>
                <w:rFonts w:hint="eastAsia" w:ascii="宋体" w:hAnsi="宋体" w:eastAsia="宋体" w:cs="宋体"/>
                <w:color w:val="auto"/>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color w:val="auto"/>
                <w:sz w:val="21"/>
                <w:szCs w:val="21"/>
                <w:lang w:val="en-US"/>
              </w:rPr>
            </w:pPr>
            <w:r>
              <w:rPr>
                <w:rFonts w:hint="eastAsia" w:ascii="宋体" w:hAnsi="宋体" w:eastAsia="宋体" w:cs="宋体"/>
                <w:color w:val="auto"/>
                <w:kern w:val="0"/>
                <w:sz w:val="21"/>
                <w:szCs w:val="21"/>
                <w:lang w:val="en-US" w:eastAsia="zh-CN" w:bidi="ar"/>
              </w:rPr>
              <w:t>　　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color w:val="auto"/>
                <w:sz w:val="21"/>
                <w:szCs w:val="21"/>
                <w:lang w:val="en-US"/>
              </w:rPr>
            </w:pPr>
            <w:r>
              <w:rPr>
                <w:rFonts w:hint="eastAsia" w:ascii="宋体" w:hAnsi="宋体" w:eastAsia="宋体" w:cs="宋体"/>
                <w:color w:val="auto"/>
                <w:kern w:val="0"/>
                <w:sz w:val="21"/>
                <w:szCs w:val="21"/>
                <w:lang w:val="en-US" w:eastAsia="zh-CN" w:bidi="ar"/>
              </w:rPr>
              <w:t> 　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color w:val="auto"/>
                <w:sz w:val="21"/>
                <w:szCs w:val="21"/>
                <w:lang w:val="en-US"/>
              </w:rPr>
            </w:pPr>
            <w:r>
              <w:rPr>
                <w:rFonts w:hint="default" w:ascii="Calibri" w:hAnsi="Calibri" w:eastAsia="宋体" w:cs="Calibri"/>
                <w:color w:val="auto"/>
                <w:kern w:val="2"/>
                <w:sz w:val="21"/>
                <w:szCs w:val="21"/>
                <w:lang w:val="en-US" w:eastAsia="zh-CN" w:bidi="ar"/>
              </w:rPr>
              <w:t> </w:t>
            </w:r>
            <w:r>
              <w:rPr>
                <w:rFonts w:hint="eastAsia" w:ascii="Calibri" w:hAnsi="Calibri" w:eastAsia="宋体" w:cs="Calibri"/>
                <w:color w:val="auto"/>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color w:val="auto"/>
                <w:sz w:val="21"/>
                <w:szCs w:val="21"/>
              </w:rPr>
            </w:pPr>
            <w:r>
              <w:rPr>
                <w:rFonts w:hint="eastAsia" w:ascii="宋体" w:hAnsi="宋体" w:eastAsia="宋体" w:cs="宋体"/>
                <w:color w:val="auto"/>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color w:val="auto"/>
                <w:sz w:val="21"/>
                <w:szCs w:val="21"/>
                <w:lang w:val="en-US"/>
              </w:rPr>
            </w:pPr>
            <w:r>
              <w:rPr>
                <w:rFonts w:hint="default" w:ascii="Calibri" w:hAnsi="Calibri" w:eastAsia="宋体" w:cs="Calibri"/>
                <w:color w:val="auto"/>
                <w:kern w:val="2"/>
                <w:sz w:val="21"/>
                <w:szCs w:val="21"/>
                <w:lang w:val="en-US" w:eastAsia="zh-CN" w:bidi="ar"/>
              </w:rPr>
              <w:t> </w:t>
            </w:r>
            <w:r>
              <w:rPr>
                <w:rFonts w:hint="eastAsia" w:ascii="Calibri" w:hAnsi="Calibri" w:eastAsia="宋体" w:cs="Calibri"/>
                <w:color w:val="auto"/>
                <w:kern w:val="2"/>
                <w:sz w:val="21"/>
                <w:szCs w:val="21"/>
                <w:lang w:val="en-US" w:eastAsia="zh-CN" w:bidi="ar"/>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sz w:val="21"/>
                <w:szCs w:val="21"/>
              </w:rPr>
            </w:pPr>
            <w:r>
              <w:rPr>
                <w:rFonts w:hint="eastAsia" w:ascii="宋体" w:hAnsi="宋体" w:eastAsia="宋体" w:cs="宋体"/>
                <w:color w:val="auto"/>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sz w:val="21"/>
                <w:szCs w:val="21"/>
              </w:rPr>
            </w:pPr>
            <w:r>
              <w:rPr>
                <w:rFonts w:hint="eastAsia" w:ascii="宋体" w:hAnsi="宋体" w:eastAsia="宋体" w:cs="宋体"/>
                <w:color w:val="auto"/>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color w:val="auto"/>
                <w:sz w:val="21"/>
                <w:szCs w:val="21"/>
              </w:rPr>
            </w:pPr>
            <w:r>
              <w:rPr>
                <w:rFonts w:hint="eastAsia" w:ascii="宋体" w:hAnsi="宋体" w:eastAsia="宋体" w:cs="宋体"/>
                <w:color w:val="auto"/>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color w:val="auto"/>
                <w:sz w:val="21"/>
                <w:szCs w:val="21"/>
                <w:lang w:val="en-US"/>
              </w:rPr>
            </w:pPr>
            <w:r>
              <w:rPr>
                <w:rFonts w:hint="eastAsia" w:ascii="宋体" w:hAnsi="宋体" w:eastAsia="宋体" w:cs="宋体"/>
                <w:color w:val="auto"/>
                <w:kern w:val="0"/>
                <w:sz w:val="21"/>
                <w:szCs w:val="21"/>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color w:val="auto"/>
                <w:sz w:val="21"/>
                <w:szCs w:val="21"/>
              </w:rPr>
            </w:pPr>
            <w:r>
              <w:rPr>
                <w:rFonts w:hint="eastAsia" w:ascii="宋体" w:hAnsi="宋体" w:eastAsia="宋体" w:cs="宋体"/>
                <w:color w:val="auto"/>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color w:val="auto"/>
                <w:sz w:val="21"/>
                <w:szCs w:val="21"/>
                <w:lang w:val="en-US"/>
              </w:rPr>
            </w:pPr>
            <w:r>
              <w:rPr>
                <w:rFonts w:hint="eastAsia" w:ascii="宋体" w:hAnsi="宋体" w:eastAsia="宋体" w:cs="宋体"/>
                <w:color w:val="auto"/>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color w:val="auto"/>
                <w:sz w:val="21"/>
                <w:szCs w:val="21"/>
              </w:rPr>
            </w:pPr>
            <w:r>
              <w:rPr>
                <w:rFonts w:hint="eastAsia" w:ascii="宋体" w:hAnsi="宋体" w:eastAsia="宋体" w:cs="宋体"/>
                <w:color w:val="auto"/>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r>
    </w:tbl>
    <w:p>
      <w:pPr>
        <w:keepNext w:val="0"/>
        <w:keepLines w:val="0"/>
        <w:widowControl/>
        <w:suppressLineNumbers w:val="0"/>
        <w:jc w:val="left"/>
        <w:rPr>
          <w:color w:val="auto"/>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三、收到和处理政府信息公开申请情况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sz w:val="32"/>
          <w:szCs w:val="32"/>
          <w:lang w:val="en-US" w:eastAsia="zh-CN"/>
        </w:rPr>
        <w:t>2021年度未收到和处理政府信息公开申请。</w:t>
      </w:r>
    </w:p>
    <w:tbl>
      <w:tblPr>
        <w:tblStyle w:val="3"/>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653"/>
        <w:gridCol w:w="798"/>
        <w:gridCol w:w="2847"/>
        <w:gridCol w:w="595"/>
        <w:gridCol w:w="595"/>
        <w:gridCol w:w="595"/>
        <w:gridCol w:w="595"/>
        <w:gridCol w:w="595"/>
        <w:gridCol w:w="600"/>
        <w:gridCol w:w="5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9"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color w:val="auto"/>
              </w:rPr>
            </w:pPr>
            <w:r>
              <w:rPr>
                <w:rFonts w:hint="eastAsia" w:ascii="楷体" w:hAnsi="楷体" w:eastAsia="楷体" w:cs="楷体"/>
                <w:color w:val="auto"/>
                <w:kern w:val="0"/>
                <w:sz w:val="20"/>
                <w:szCs w:val="20"/>
                <w:lang w:val="en-US" w:eastAsia="zh-CN" w:bidi="ar"/>
              </w:rPr>
              <w:t>（本列数据的勾稽关系为：第一项加第二项之和，等于第三项加第四项之和）</w:t>
            </w:r>
          </w:p>
        </w:tc>
        <w:tc>
          <w:tcPr>
            <w:tcW w:w="2460"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9"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auto"/>
                <w:sz w:val="21"/>
                <w:szCs w:val="21"/>
              </w:rPr>
            </w:pPr>
          </w:p>
        </w:tc>
        <w:tc>
          <w:tcPr>
            <w:tcW w:w="351" w:type="pct"/>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自然人</w:t>
            </w:r>
          </w:p>
        </w:tc>
        <w:tc>
          <w:tcPr>
            <w:tcW w:w="1758"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法人或其他组织</w:t>
            </w:r>
          </w:p>
        </w:tc>
        <w:tc>
          <w:tcPr>
            <w:tcW w:w="351"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9"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auto"/>
                <w:sz w:val="21"/>
                <w:szCs w:val="21"/>
              </w:rPr>
            </w:pPr>
          </w:p>
        </w:tc>
        <w:tc>
          <w:tcPr>
            <w:tcW w:w="351" w:type="pct"/>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auto"/>
                <w:sz w:val="21"/>
                <w:szCs w:val="21"/>
              </w:rPr>
            </w:pP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企业</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机构</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社会公益组织</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法律服务机构</w:t>
            </w:r>
          </w:p>
        </w:tc>
        <w:tc>
          <w:tcPr>
            <w:tcW w:w="352"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其他</w:t>
            </w:r>
          </w:p>
        </w:tc>
        <w:tc>
          <w:tcPr>
            <w:tcW w:w="351"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一、本年新收政府信息公开申请数量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9"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二、上年结转政府信息公开申请数量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三、本年度办理结果</w:t>
            </w: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（一）予以公开</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（二）部分公开（区分处理的，只计这一情形，不计其他情形）</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（三）不予公开</w:t>
            </w: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1.属于国家秘密</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2.其他法律行政法规禁止公开</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3.危及“三安全一稳定”</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4.保护第三方合法权益</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5.属于三类内部事务信息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6.属于四类过程性信息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7.属于行政执法案卷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8.属于行政查询事项</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（四）无法提供</w:t>
            </w: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1.本机关不掌握相关政府信息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2.没有现成信息需要另行制作</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3.补正后申请内容仍不明确</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（五）不予处理</w:t>
            </w: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1.信访举报投诉类申请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7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2.重复申请</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7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3.要求提供公开出版物</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7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4.无正当理由大量反复申请</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79"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5.要求行政机关确认或重新出具已获取信息</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（六）其他处理</w:t>
            </w:r>
          </w:p>
        </w:tc>
        <w:tc>
          <w:tcPr>
            <w:tcW w:w="16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1.申请人无正当理由逾期不补正、行政机关不再处理其政府信息公开申请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2.申请人逾期未按收费通知要求缴纳费用、行政机关不再处理其政府信息公开申请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72"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3.其他</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（七）总计</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四、结转下年度继续办理</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四、政府信息公开行政复议、行政诉讼情况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sz w:val="32"/>
          <w:szCs w:val="32"/>
          <w:lang w:val="en-US" w:eastAsia="zh-CN"/>
        </w:rPr>
        <w:t>2021年度未发生针对本部门有关政府信息公开事务的行政复议案和行政诉讼案。</w:t>
      </w:r>
      <w:bookmarkStart w:id="0" w:name="_GoBack"/>
      <w:bookmarkEnd w:id="0"/>
    </w:p>
    <w:tbl>
      <w:tblPr>
        <w:tblStyle w:val="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65"/>
        <w:gridCol w:w="565"/>
        <w:gridCol w:w="565"/>
        <w:gridCol w:w="565"/>
        <w:gridCol w:w="574"/>
        <w:gridCol w:w="566"/>
        <w:gridCol w:w="566"/>
        <w:gridCol w:w="568"/>
        <w:gridCol w:w="568"/>
        <w:gridCol w:w="573"/>
        <w:gridCol w:w="568"/>
        <w:gridCol w:w="568"/>
        <w:gridCol w:w="568"/>
        <w:gridCol w:w="568"/>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行政复议</w:t>
            </w:r>
          </w:p>
        </w:tc>
        <w:tc>
          <w:tcPr>
            <w:tcW w:w="3334"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结果维持</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3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总计</w:t>
            </w:r>
          </w:p>
        </w:tc>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未经复议直接起诉</w:t>
            </w:r>
          </w:p>
        </w:tc>
        <w:tc>
          <w:tcPr>
            <w:tcW w:w="166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auto"/>
                <w:sz w:val="21"/>
                <w:szCs w:val="21"/>
              </w:rPr>
            </w:pPr>
          </w:p>
        </w:tc>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auto"/>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auto"/>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auto"/>
                <w:sz w:val="21"/>
                <w:szCs w:val="21"/>
              </w:rPr>
            </w:pPr>
          </w:p>
        </w:tc>
        <w:tc>
          <w:tcPr>
            <w:tcW w:w="3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auto"/>
                <w:sz w:val="21"/>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auto"/>
                <w:lang w:val="en-US"/>
              </w:rPr>
            </w:pPr>
            <w:r>
              <w:rPr>
                <w:rFonts w:hint="eastAsia" w:ascii="黑体" w:hAnsi="宋体" w:eastAsia="黑体" w:cs="黑体"/>
                <w:color w:val="auto"/>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auto"/>
                <w:lang w:val="en-US"/>
              </w:rPr>
            </w:pPr>
            <w:r>
              <w:rPr>
                <w:rFonts w:hint="eastAsia" w:ascii="黑体" w:hAnsi="宋体" w:eastAsia="黑体" w:cs="黑体"/>
                <w:color w:val="auto"/>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auto"/>
                <w:lang w:val="en-US"/>
              </w:rPr>
            </w:pPr>
            <w:r>
              <w:rPr>
                <w:rFonts w:hint="eastAsia" w:ascii="黑体" w:hAnsi="宋体" w:eastAsia="黑体" w:cs="黑体"/>
                <w:color w:val="auto"/>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auto"/>
                <w:lang w:val="en-US"/>
              </w:rPr>
            </w:pPr>
            <w:r>
              <w:rPr>
                <w:rFonts w:hint="eastAsia" w:ascii="黑体" w:hAnsi="宋体" w:eastAsia="黑体" w:cs="黑体"/>
                <w:color w:val="auto"/>
                <w:kern w:val="2"/>
                <w:sz w:val="20"/>
                <w:szCs w:val="20"/>
                <w:lang w:val="en-US" w:eastAsia="zh-CN" w:bidi="ar"/>
              </w:rPr>
              <w:t>0</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auto"/>
                <w:lang w:val="en-US"/>
              </w:rPr>
            </w:pPr>
            <w:r>
              <w:rPr>
                <w:rFonts w:hint="eastAsia" w:ascii="黑体" w:hAnsi="宋体" w:eastAsia="黑体" w:cs="黑体"/>
                <w:color w:val="auto"/>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auto"/>
                <w:lang w:val="en-US"/>
              </w:rPr>
            </w:pPr>
            <w:r>
              <w:rPr>
                <w:rFonts w:hint="eastAsia" w:ascii="黑体" w:hAnsi="宋体" w:eastAsia="黑体" w:cs="黑体"/>
                <w:color w:val="auto"/>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auto"/>
                <w:lang w:val="en-US"/>
              </w:rPr>
            </w:pPr>
            <w:r>
              <w:rPr>
                <w:rFonts w:hint="eastAsia" w:ascii="黑体" w:hAnsi="宋体" w:eastAsia="黑体" w:cs="黑体"/>
                <w:color w:val="auto"/>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auto"/>
                <w:lang w:val="en-US"/>
              </w:rPr>
            </w:pPr>
            <w:r>
              <w:rPr>
                <w:rFonts w:hint="eastAsia" w:ascii="黑体" w:hAnsi="宋体" w:eastAsia="黑体" w:cs="黑体"/>
                <w:color w:val="auto"/>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auto"/>
                <w:lang w:val="en-US"/>
              </w:rPr>
            </w:pPr>
            <w:r>
              <w:rPr>
                <w:rFonts w:hint="eastAsia" w:ascii="黑体" w:hAnsi="宋体" w:eastAsia="黑体" w:cs="黑体"/>
                <w:color w:val="auto"/>
                <w:kern w:val="2"/>
                <w:sz w:val="20"/>
                <w:szCs w:val="20"/>
                <w:lang w:val="en-US" w:eastAsia="zh-CN" w:bidi="ar"/>
              </w:rPr>
              <w:t>0</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auto"/>
                <w:lang w:val="en-US"/>
              </w:rPr>
            </w:pPr>
            <w:r>
              <w:rPr>
                <w:rFonts w:hint="eastAsia" w:ascii="黑体" w:hAnsi="宋体" w:eastAsia="黑体" w:cs="黑体"/>
                <w:color w:val="auto"/>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auto"/>
                <w:lang w:val="en-US"/>
              </w:rPr>
            </w:pPr>
            <w:r>
              <w:rPr>
                <w:rFonts w:hint="eastAsia" w:ascii="黑体" w:hAnsi="宋体" w:eastAsia="黑体" w:cs="黑体"/>
                <w:color w:val="auto"/>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auto"/>
                <w:lang w:val="en-US"/>
              </w:rPr>
            </w:pPr>
            <w:r>
              <w:rPr>
                <w:rFonts w:hint="eastAsia" w:ascii="黑体" w:hAnsi="宋体" w:eastAsia="黑体" w:cs="黑体"/>
                <w:color w:val="auto"/>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auto"/>
                <w:lang w:val="en-US"/>
              </w:rPr>
            </w:pPr>
            <w:r>
              <w:rPr>
                <w:rFonts w:hint="eastAsia" w:ascii="黑体" w:hAnsi="宋体" w:eastAsia="黑体" w:cs="黑体"/>
                <w:color w:val="auto"/>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auto"/>
                <w:lang w:val="en-US"/>
              </w:rPr>
            </w:pPr>
            <w:r>
              <w:rPr>
                <w:rFonts w:hint="eastAsia" w:ascii="黑体" w:hAnsi="宋体" w:eastAsia="黑体" w:cs="黑体"/>
                <w:color w:val="auto"/>
                <w:kern w:val="2"/>
                <w:sz w:val="20"/>
                <w:szCs w:val="20"/>
                <w:lang w:val="en-US" w:eastAsia="zh-CN" w:bidi="ar"/>
              </w:rPr>
              <w:t>0</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宋体" w:hAnsi="宋体" w:eastAsia="宋体" w:cs="宋体"/>
                <w:color w:val="auto"/>
                <w:sz w:val="21"/>
                <w:szCs w:val="21"/>
                <w:lang w:val="en-US"/>
              </w:rPr>
            </w:pPr>
            <w:r>
              <w:rPr>
                <w:rFonts w:hint="eastAsia" w:ascii="黑体" w:hAnsi="宋体" w:eastAsia="黑体" w:cs="黑体"/>
                <w:color w:val="auto"/>
                <w:kern w:val="2"/>
                <w:sz w:val="20"/>
                <w:szCs w:val="20"/>
                <w:lang w:val="en-US" w:eastAsia="zh-CN" w:bidi="ar"/>
              </w:rPr>
              <w:t>0</w:t>
            </w:r>
          </w:p>
        </w:tc>
      </w:tr>
    </w:tbl>
    <w:p>
      <w:pPr>
        <w:keepNext w:val="0"/>
        <w:keepLines w:val="0"/>
        <w:widowControl/>
        <w:suppressLineNumbers w:val="0"/>
        <w:jc w:val="left"/>
        <w:rPr>
          <w:color w:val="auto"/>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五、存在的主要问题及改进情况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存在的主要问题：主动公开、及时公开的自觉性还不强，政策解读、政务要闻等栏目更多是在按规定的更新频率进行更新，对没有作更新要求的信息主动公开不够。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t>下一步改进措施：一方面加强对《中华人民共和国政府信息公开条例》等文件规定的学习，提升对政策的理解和把握能力。另一方面做好信息公开的梳理和分类整理工作，严格按照公平、公正、合法、便民的原则，及时、准确地公开相关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六、其他需要报告的事项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目前我局暂无其他报告事项</w:t>
      </w:r>
      <w:r>
        <w:rPr>
          <w:rFonts w:hint="eastAsia" w:ascii="仿宋_GB2312" w:hAnsi="仿宋_GB2312" w:eastAsia="仿宋_GB2312" w:cs="仿宋_GB2312"/>
          <w:sz w:val="32"/>
          <w:szCs w:val="32"/>
          <w:lang w:eastAsia="zh-CN"/>
        </w:rPr>
        <w:t>。</w:t>
      </w:r>
    </w:p>
    <w:p>
      <w:pPr>
        <w:rPr>
          <w:color w:val="auto"/>
        </w:rPr>
      </w:pPr>
    </w:p>
    <w:p>
      <w:pPr>
        <w:rPr>
          <w:color w:val="auto"/>
        </w:rPr>
      </w:pPr>
    </w:p>
    <w:p>
      <w:pPr>
        <w:rPr>
          <w:color w:val="auto"/>
        </w:rPr>
      </w:pPr>
    </w:p>
    <w:p>
      <w:pPr>
        <w:rPr>
          <w:color w:val="auto"/>
        </w:rPr>
      </w:pPr>
    </w:p>
    <w:p>
      <w:pPr>
        <w:rPr>
          <w:color w:val="auto"/>
        </w:rPr>
      </w:pP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大冶市住房和城乡建设局</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28日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82636"/>
    <w:rsid w:val="55282636"/>
    <w:rsid w:val="621B7C22"/>
    <w:rsid w:val="67437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2022-02-21T02:07:00Z</dcterms:created>
  <dc:creator>ky</dc:creator>
  <cp:lastModifiedBy>仔仔爸。</cp:lastModifiedBy>
  <dcterms:modified xsi:type="dcterms:W3CDTF">2022-02-23T01:56:42Z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E8897D64D0B344398679D492D5E8D0A3</vt:lpwstr>
  </property>
</Properties>
</file>