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宋体" w:hAnsi="宋体" w:eastAsia="宋体" w:cs="宋体"/>
          <w:b/>
          <w:bCs/>
          <w:color w:val="333333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33333"/>
          <w:sz w:val="44"/>
          <w:szCs w:val="44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firstLine="640" w:firstLineChars="200"/>
        <w:jc w:val="both"/>
        <w:rPr>
          <w:rFonts w:hint="eastAsia" w:ascii="宋体" w:hAnsi="宋体" w:eastAsia="宋体" w:cs="宋体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中华人民共和国政府信息公开条例》（以下简称《条例》）规定，由陈贵镇人民政府编制。全文包括总体情况、主动公开政府信息情况、收到和处理政府信息公开申请情况、因政府信息公开工作被申请行政复议、提起行政诉讼情况、政府信息公开工作存在的问题及改进情况、其他需要报告的事项。本年报中所列数据的统计期限自2021年1月1日起至2021年12月31日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我镇高度重视政府信息公开工作，深入学习贯彻《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政府信息公开条例》，坚持以公开为常态、不公开为例外，遵循公正、公平、合法、便民的原则开展政府信息公开工作。建立健全信息公开工作机制，完善工作制度，确定信息公开的范围和内容，加强信息公开载体建设和监督检查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tbl>
      <w:tblPr>
        <w:tblStyle w:val="3"/>
        <w:tblW w:w="493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43"/>
        <w:gridCol w:w="788"/>
        <w:gridCol w:w="2813"/>
        <w:gridCol w:w="587"/>
        <w:gridCol w:w="587"/>
        <w:gridCol w:w="587"/>
        <w:gridCol w:w="587"/>
        <w:gridCol w:w="587"/>
        <w:gridCol w:w="595"/>
        <w:gridCol w:w="5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3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9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2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2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17"/>
              </w:tabs>
              <w:spacing w:before="0" w:beforeAutospacing="0" w:after="0" w:afterLines="0" w:afterAutospacing="0" w:line="30" w:lineRule="atLeast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right="0" w:firstLine="210" w:firstLineChars="10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right="0"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4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镇政府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信息公开工作存在的主要问题有：没有专门的互联网载体来进行相关政策、重大事项和部门动态等相关信息的发布，不便于社会公众对我局相关信息的查询；信息公开的内容还不够全面；处理信息公开工作的人员综合能力还有待提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下一步，我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将完善本单位信息公开制度，加大推进信息公开内容向深化、细化发展。加强信息公开工作人员的培训力度，探索创新信息公开方式和载体，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AAD038-09AF-4BF2-A9F7-AEBE65AD07F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0CA90B8-BC65-4456-B815-97B2E3F9C08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BC61E25-33D0-4CDF-8FD1-4E7535CDE5A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8D39322-8468-427B-A2F9-2313DC0C374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78EC774-B84B-4030-B5D2-7B1960077A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B1E27"/>
    <w:rsid w:val="1AF743F8"/>
    <w:rsid w:val="21A841E4"/>
    <w:rsid w:val="238B1E27"/>
    <w:rsid w:val="246E2621"/>
    <w:rsid w:val="27E42BDC"/>
    <w:rsid w:val="2A607E15"/>
    <w:rsid w:val="2ECF18CB"/>
    <w:rsid w:val="32D2003C"/>
    <w:rsid w:val="34796D87"/>
    <w:rsid w:val="35DF3D69"/>
    <w:rsid w:val="380214FF"/>
    <w:rsid w:val="397119C0"/>
    <w:rsid w:val="3F825F1B"/>
    <w:rsid w:val="451F4540"/>
    <w:rsid w:val="4D5443C6"/>
    <w:rsid w:val="552D6538"/>
    <w:rsid w:val="79FB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2021-12-21T15:19:00Z</dcterms:created>
  <dc:creator>WPS_1624785580</dc:creator>
  <cp:lastModifiedBy>草木林</cp:lastModifiedBy>
  <dcterms:modified xsi:type="dcterms:W3CDTF">2022-01-26T06:52:46Z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777F53E91E564B3B96F5A1A435D08748</vt:lpwstr>
  </property>
</Properties>
</file>