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9" w:lineRule="auto"/>
      </w:pPr>
    </w:p>
    <w:p>
      <w:pPr>
        <w:pStyle w:val="2"/>
        <w:spacing w:line="279" w:lineRule="auto"/>
      </w:pPr>
    </w:p>
    <w:p>
      <w:pPr>
        <w:spacing w:before="91" w:line="220" w:lineRule="auto"/>
        <w:jc w:val="center"/>
        <w:rPr>
          <w:rFonts w:ascii="宋体" w:hAnsi="宋体" w:eastAsia="宋体" w:cs="宋体"/>
          <w:sz w:val="44"/>
          <w:szCs w:val="44"/>
        </w:rPr>
      </w:pPr>
      <w:bookmarkStart w:id="0" w:name="_GoBack"/>
      <w:r>
        <w:rPr>
          <w:rFonts w:ascii="宋体" w:hAnsi="宋体" w:eastAsia="宋体" w:cs="宋体"/>
          <w:b/>
          <w:bCs/>
          <w:spacing w:val="-4"/>
          <w:sz w:val="44"/>
          <w:szCs w:val="44"/>
        </w:rPr>
        <w:t>涉企“预防为主”指导清单</w:t>
      </w:r>
    </w:p>
    <w:bookmarkEnd w:id="0"/>
    <w:p>
      <w:pPr>
        <w:spacing w:line="132" w:lineRule="exact"/>
      </w:pPr>
    </w:p>
    <w:tbl>
      <w:tblPr>
        <w:tblStyle w:val="6"/>
        <w:tblW w:w="15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99"/>
        <w:gridCol w:w="1699"/>
        <w:gridCol w:w="4357"/>
        <w:gridCol w:w="1219"/>
        <w:gridCol w:w="3518"/>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4" w:type="dxa"/>
            <w:vAlign w:val="top"/>
          </w:tcPr>
          <w:p>
            <w:pPr>
              <w:pStyle w:val="7"/>
              <w:spacing w:before="221" w:line="221" w:lineRule="auto"/>
              <w:ind w:left="207"/>
            </w:pPr>
            <w:r>
              <w:rPr>
                <w:b/>
                <w:bCs/>
                <w:spacing w:val="-4"/>
              </w:rPr>
              <w:t>序号</w:t>
            </w:r>
          </w:p>
        </w:tc>
        <w:tc>
          <w:tcPr>
            <w:tcW w:w="1699" w:type="dxa"/>
            <w:vAlign w:val="top"/>
          </w:tcPr>
          <w:p>
            <w:pPr>
              <w:pStyle w:val="7"/>
              <w:spacing w:before="182" w:line="220" w:lineRule="auto"/>
              <w:ind w:left="324"/>
              <w:rPr>
                <w:sz w:val="26"/>
                <w:szCs w:val="26"/>
              </w:rPr>
            </w:pPr>
            <w:r>
              <w:rPr>
                <w:b/>
                <w:bCs/>
                <w:spacing w:val="-1"/>
                <w:sz w:val="26"/>
                <w:szCs w:val="26"/>
              </w:rPr>
              <w:t>指导事项</w:t>
            </w:r>
          </w:p>
        </w:tc>
        <w:tc>
          <w:tcPr>
            <w:tcW w:w="1699" w:type="dxa"/>
            <w:vAlign w:val="top"/>
          </w:tcPr>
          <w:p>
            <w:pPr>
              <w:pStyle w:val="7"/>
              <w:spacing w:before="42" w:line="203" w:lineRule="auto"/>
              <w:ind w:left="584" w:right="57" w:hanging="519"/>
              <w:rPr>
                <w:sz w:val="26"/>
                <w:szCs w:val="26"/>
              </w:rPr>
            </w:pPr>
            <w:r>
              <w:rPr>
                <w:b/>
                <w:bCs/>
                <w:spacing w:val="-2"/>
                <w:sz w:val="26"/>
                <w:szCs w:val="26"/>
              </w:rPr>
              <w:t>常见违法行为</w:t>
            </w:r>
            <w:r>
              <w:rPr>
                <w:sz w:val="26"/>
                <w:szCs w:val="26"/>
              </w:rPr>
              <w:t xml:space="preserve"> </w:t>
            </w:r>
            <w:r>
              <w:rPr>
                <w:b/>
                <w:bCs/>
                <w:spacing w:val="-6"/>
                <w:sz w:val="26"/>
                <w:szCs w:val="26"/>
              </w:rPr>
              <w:t>表现</w:t>
            </w:r>
          </w:p>
        </w:tc>
        <w:tc>
          <w:tcPr>
            <w:tcW w:w="4357" w:type="dxa"/>
            <w:vAlign w:val="top"/>
          </w:tcPr>
          <w:p>
            <w:pPr>
              <w:pStyle w:val="7"/>
              <w:spacing w:before="180" w:line="219" w:lineRule="auto"/>
              <w:ind w:left="1006"/>
              <w:rPr>
                <w:sz w:val="26"/>
                <w:szCs w:val="26"/>
              </w:rPr>
            </w:pPr>
            <w:r>
              <w:rPr>
                <w:b/>
                <w:bCs/>
                <w:spacing w:val="-4"/>
                <w:sz w:val="26"/>
                <w:szCs w:val="26"/>
              </w:rPr>
              <w:t>法律依据及违法责任</w:t>
            </w:r>
          </w:p>
        </w:tc>
        <w:tc>
          <w:tcPr>
            <w:tcW w:w="1219" w:type="dxa"/>
            <w:vAlign w:val="top"/>
          </w:tcPr>
          <w:p>
            <w:pPr>
              <w:pStyle w:val="7"/>
              <w:spacing w:before="182" w:line="219" w:lineRule="auto"/>
              <w:ind w:left="89"/>
              <w:rPr>
                <w:sz w:val="26"/>
                <w:szCs w:val="26"/>
              </w:rPr>
            </w:pPr>
            <w:r>
              <w:rPr>
                <w:b/>
                <w:bCs/>
                <w:spacing w:val="-6"/>
                <w:sz w:val="26"/>
                <w:szCs w:val="26"/>
              </w:rPr>
              <w:t>发生频率</w:t>
            </w:r>
          </w:p>
        </w:tc>
        <w:tc>
          <w:tcPr>
            <w:tcW w:w="3518" w:type="dxa"/>
            <w:vAlign w:val="top"/>
          </w:tcPr>
          <w:p>
            <w:pPr>
              <w:pStyle w:val="7"/>
              <w:spacing w:before="183" w:line="220" w:lineRule="auto"/>
              <w:ind w:left="1490"/>
              <w:rPr>
                <w:sz w:val="27"/>
                <w:szCs w:val="27"/>
              </w:rPr>
            </w:pPr>
            <w:r>
              <w:rPr>
                <w:b/>
                <w:bCs/>
                <w:spacing w:val="-7"/>
                <w:sz w:val="27"/>
                <w:szCs w:val="27"/>
              </w:rPr>
              <w:t>建议</w:t>
            </w:r>
          </w:p>
        </w:tc>
        <w:tc>
          <w:tcPr>
            <w:tcW w:w="1754" w:type="dxa"/>
            <w:vAlign w:val="top"/>
          </w:tcPr>
          <w:p>
            <w:pPr>
              <w:pStyle w:val="7"/>
              <w:spacing w:before="32" w:line="219" w:lineRule="auto"/>
              <w:ind w:left="352"/>
              <w:rPr>
                <w:sz w:val="26"/>
                <w:szCs w:val="26"/>
              </w:rPr>
            </w:pPr>
            <w:r>
              <w:rPr>
                <w:b/>
                <w:bCs/>
                <w:spacing w:val="2"/>
                <w:sz w:val="26"/>
                <w:szCs w:val="26"/>
              </w:rPr>
              <w:t>指导部门</w:t>
            </w:r>
          </w:p>
          <w:p>
            <w:pPr>
              <w:pStyle w:val="7"/>
              <w:spacing w:line="194" w:lineRule="auto"/>
              <w:ind w:left="162"/>
              <w:rPr>
                <w:sz w:val="26"/>
                <w:szCs w:val="26"/>
              </w:rPr>
            </w:pPr>
            <w:r>
              <w:rPr>
                <w:b/>
                <w:bCs/>
                <w:spacing w:val="4"/>
                <w:sz w:val="26"/>
                <w:szCs w:val="26"/>
              </w:rPr>
              <w:t>(机构/科室)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4" w:hRule="atLeast"/>
        </w:trPr>
        <w:tc>
          <w:tcPr>
            <w:tcW w:w="814" w:type="dxa"/>
            <w:vAlign w:val="top"/>
          </w:tcPr>
          <w:p>
            <w:pPr>
              <w:spacing w:line="244" w:lineRule="auto"/>
              <w:jc w:val="left"/>
              <w:rPr>
                <w:rFonts w:ascii="Arial"/>
                <w:sz w:val="21"/>
              </w:rPr>
            </w:pPr>
          </w:p>
          <w:p>
            <w:pPr>
              <w:spacing w:line="244" w:lineRule="auto"/>
              <w:jc w:val="left"/>
              <w:rPr>
                <w:rFonts w:ascii="Arial"/>
                <w:sz w:val="21"/>
              </w:rPr>
            </w:pPr>
          </w:p>
          <w:p>
            <w:pPr>
              <w:spacing w:line="244" w:lineRule="auto"/>
              <w:jc w:val="left"/>
              <w:rPr>
                <w:rFonts w:ascii="Arial"/>
                <w:sz w:val="21"/>
              </w:rPr>
            </w:pPr>
          </w:p>
          <w:p>
            <w:pPr>
              <w:spacing w:line="245" w:lineRule="auto"/>
              <w:jc w:val="left"/>
              <w:rPr>
                <w:rFonts w:ascii="Arial"/>
                <w:sz w:val="21"/>
              </w:rPr>
            </w:pPr>
          </w:p>
          <w:p>
            <w:pPr>
              <w:spacing w:line="245" w:lineRule="auto"/>
              <w:jc w:val="left"/>
              <w:rPr>
                <w:rFonts w:ascii="Arial"/>
                <w:sz w:val="21"/>
              </w:rPr>
            </w:pPr>
          </w:p>
          <w:p>
            <w:pPr>
              <w:spacing w:line="245" w:lineRule="auto"/>
              <w:jc w:val="left"/>
              <w:rPr>
                <w:rFonts w:ascii="Arial"/>
                <w:sz w:val="21"/>
              </w:rPr>
            </w:pPr>
          </w:p>
          <w:p>
            <w:pPr>
              <w:spacing w:line="245" w:lineRule="auto"/>
              <w:jc w:val="left"/>
              <w:rPr>
                <w:rFonts w:ascii="Arial"/>
                <w:sz w:val="21"/>
              </w:rPr>
            </w:pPr>
          </w:p>
          <w:p>
            <w:pPr>
              <w:spacing w:line="245" w:lineRule="auto"/>
              <w:jc w:val="left"/>
              <w:rPr>
                <w:rFonts w:ascii="Arial"/>
                <w:sz w:val="21"/>
              </w:rPr>
            </w:pPr>
          </w:p>
          <w:p>
            <w:pPr>
              <w:spacing w:line="245" w:lineRule="auto"/>
              <w:jc w:val="left"/>
              <w:rPr>
                <w:rFonts w:ascii="Arial"/>
                <w:sz w:val="21"/>
              </w:rPr>
            </w:pPr>
          </w:p>
          <w:p>
            <w:pPr>
              <w:pStyle w:val="7"/>
              <w:spacing w:before="62" w:line="241" w:lineRule="auto"/>
              <w:ind w:left="345"/>
              <w:jc w:val="left"/>
            </w:pPr>
            <w:r>
              <w:t>1</w:t>
            </w:r>
          </w:p>
        </w:tc>
        <w:tc>
          <w:tcPr>
            <w:tcW w:w="1699" w:type="dxa"/>
            <w:vAlign w:val="top"/>
          </w:tcPr>
          <w:p>
            <w:pPr>
              <w:spacing w:line="261" w:lineRule="auto"/>
              <w:jc w:val="left"/>
              <w:rPr>
                <w:rFonts w:hint="eastAsia" w:asciiTheme="minorEastAsia" w:hAnsiTheme="minorEastAsia" w:eastAsiaTheme="minorEastAsia" w:cstheme="minorEastAsia"/>
                <w:sz w:val="18"/>
                <w:szCs w:val="18"/>
              </w:rPr>
            </w:pPr>
          </w:p>
          <w:p>
            <w:pPr>
              <w:spacing w:line="261" w:lineRule="auto"/>
              <w:jc w:val="left"/>
              <w:rPr>
                <w:rFonts w:hint="eastAsia" w:asciiTheme="minorEastAsia" w:hAnsiTheme="minorEastAsia" w:eastAsiaTheme="minorEastAsia" w:cstheme="minorEastAsia"/>
                <w:sz w:val="18"/>
                <w:szCs w:val="18"/>
              </w:rPr>
            </w:pPr>
          </w:p>
          <w:p>
            <w:pPr>
              <w:spacing w:line="261" w:lineRule="auto"/>
              <w:jc w:val="left"/>
              <w:rPr>
                <w:rFonts w:hint="eastAsia" w:asciiTheme="minorEastAsia" w:hAnsiTheme="minorEastAsia" w:eastAsiaTheme="minorEastAsia" w:cstheme="minorEastAsia"/>
                <w:sz w:val="18"/>
                <w:szCs w:val="18"/>
              </w:rPr>
            </w:pPr>
          </w:p>
          <w:p>
            <w:pPr>
              <w:spacing w:line="261" w:lineRule="auto"/>
              <w:jc w:val="left"/>
              <w:rPr>
                <w:rFonts w:hint="eastAsia" w:asciiTheme="minorEastAsia" w:hAnsiTheme="minorEastAsia" w:eastAsiaTheme="minorEastAsia" w:cstheme="minorEastAsia"/>
                <w:sz w:val="18"/>
                <w:szCs w:val="18"/>
              </w:rPr>
            </w:pPr>
          </w:p>
          <w:p>
            <w:pPr>
              <w:spacing w:line="261" w:lineRule="auto"/>
              <w:jc w:val="left"/>
              <w:rPr>
                <w:rFonts w:hint="eastAsia" w:asciiTheme="minorEastAsia" w:hAnsiTheme="minorEastAsia" w:eastAsiaTheme="minorEastAsia" w:cstheme="minorEastAsia"/>
                <w:sz w:val="18"/>
                <w:szCs w:val="18"/>
              </w:rPr>
            </w:pPr>
          </w:p>
          <w:p>
            <w:pPr>
              <w:spacing w:line="262" w:lineRule="auto"/>
              <w:jc w:val="left"/>
              <w:rPr>
                <w:rFonts w:hint="eastAsia" w:asciiTheme="minorEastAsia" w:hAnsiTheme="minorEastAsia" w:eastAsiaTheme="minorEastAsia" w:cstheme="minorEastAsia"/>
                <w:sz w:val="18"/>
                <w:szCs w:val="18"/>
              </w:rPr>
            </w:pPr>
          </w:p>
          <w:p>
            <w:pPr>
              <w:pStyle w:val="7"/>
              <w:spacing w:before="61" w:line="302" w:lineRule="auto"/>
              <w:ind w:left="80" w:right="7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企业投资项目，建</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2"/>
                <w:sz w:val="18"/>
                <w:szCs w:val="18"/>
              </w:rPr>
              <w:t>设单位需在开工建</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1"/>
                <w:sz w:val="18"/>
                <w:szCs w:val="18"/>
              </w:rPr>
              <w:t>设前取得节能审查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机关出具的节能审</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3"/>
                <w:sz w:val="18"/>
                <w:szCs w:val="18"/>
              </w:rPr>
              <w:t>查意见</w:t>
            </w:r>
          </w:p>
        </w:tc>
        <w:tc>
          <w:tcPr>
            <w:tcW w:w="1699" w:type="dxa"/>
            <w:vAlign w:val="top"/>
          </w:tcPr>
          <w:p>
            <w:pPr>
              <w:spacing w:line="251" w:lineRule="auto"/>
              <w:jc w:val="left"/>
              <w:rPr>
                <w:rFonts w:hint="eastAsia" w:asciiTheme="minorEastAsia" w:hAnsiTheme="minorEastAsia" w:eastAsiaTheme="minorEastAsia" w:cstheme="minorEastAsia"/>
                <w:sz w:val="18"/>
                <w:szCs w:val="18"/>
              </w:rPr>
            </w:pPr>
          </w:p>
          <w:p>
            <w:pPr>
              <w:spacing w:line="251" w:lineRule="auto"/>
              <w:jc w:val="left"/>
              <w:rPr>
                <w:rFonts w:hint="eastAsia" w:asciiTheme="minorEastAsia" w:hAnsiTheme="minorEastAsia" w:eastAsiaTheme="minorEastAsia" w:cstheme="minorEastAsia"/>
                <w:sz w:val="18"/>
                <w:szCs w:val="18"/>
              </w:rPr>
            </w:pPr>
          </w:p>
          <w:p>
            <w:pPr>
              <w:spacing w:line="252" w:lineRule="auto"/>
              <w:jc w:val="left"/>
              <w:rPr>
                <w:rFonts w:hint="eastAsia" w:asciiTheme="minorEastAsia" w:hAnsiTheme="minorEastAsia" w:eastAsiaTheme="minorEastAsia" w:cstheme="minorEastAsia"/>
                <w:sz w:val="18"/>
                <w:szCs w:val="18"/>
              </w:rPr>
            </w:pPr>
          </w:p>
          <w:p>
            <w:pPr>
              <w:spacing w:line="252" w:lineRule="auto"/>
              <w:jc w:val="left"/>
              <w:rPr>
                <w:rFonts w:hint="eastAsia" w:asciiTheme="minorEastAsia" w:hAnsiTheme="minorEastAsia" w:eastAsiaTheme="minorEastAsia" w:cstheme="minorEastAsia"/>
                <w:sz w:val="18"/>
                <w:szCs w:val="18"/>
              </w:rPr>
            </w:pPr>
          </w:p>
          <w:p>
            <w:pPr>
              <w:spacing w:line="252" w:lineRule="auto"/>
              <w:jc w:val="left"/>
              <w:rPr>
                <w:rFonts w:hint="eastAsia" w:asciiTheme="minorEastAsia" w:hAnsiTheme="minorEastAsia" w:eastAsiaTheme="minorEastAsia" w:cstheme="minorEastAsia"/>
                <w:sz w:val="18"/>
                <w:szCs w:val="18"/>
              </w:rPr>
            </w:pPr>
          </w:p>
          <w:p>
            <w:pPr>
              <w:pStyle w:val="7"/>
              <w:spacing w:before="62" w:line="307" w:lineRule="auto"/>
              <w:ind w:left="8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对未按本办法规定</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进行节能审查，或</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0"/>
                <w:sz w:val="18"/>
                <w:szCs w:val="18"/>
              </w:rPr>
              <w:t>节能审查未获通</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pacing w:val="-2"/>
                <w:sz w:val="18"/>
                <w:szCs w:val="18"/>
              </w:rPr>
              <w:t>过，擅自开工建设</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0"/>
                <w:sz w:val="18"/>
                <w:szCs w:val="18"/>
              </w:rPr>
              <w:t>或擅自投入生产、</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2"/>
                <w:sz w:val="18"/>
                <w:szCs w:val="18"/>
              </w:rPr>
              <w:t>使用的固定资产投</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4"/>
                <w:sz w:val="18"/>
                <w:szCs w:val="18"/>
              </w:rPr>
              <w:t>资项目</w:t>
            </w:r>
          </w:p>
        </w:tc>
        <w:tc>
          <w:tcPr>
            <w:tcW w:w="4357" w:type="dxa"/>
            <w:vAlign w:val="top"/>
          </w:tcPr>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3" w:lineRule="auto"/>
              <w:jc w:val="left"/>
              <w:rPr>
                <w:rFonts w:hint="eastAsia" w:asciiTheme="minorEastAsia" w:hAnsiTheme="minorEastAsia" w:eastAsiaTheme="minorEastAsia" w:cstheme="minorEastAsia"/>
                <w:sz w:val="18"/>
                <w:szCs w:val="18"/>
              </w:rPr>
            </w:pPr>
          </w:p>
          <w:p>
            <w:pPr>
              <w:spacing w:line="243" w:lineRule="auto"/>
              <w:jc w:val="left"/>
              <w:rPr>
                <w:rFonts w:hint="eastAsia" w:asciiTheme="minorEastAsia" w:hAnsiTheme="minorEastAsia" w:eastAsiaTheme="minorEastAsia" w:cstheme="minorEastAsia"/>
                <w:sz w:val="18"/>
                <w:szCs w:val="18"/>
              </w:rPr>
            </w:pPr>
          </w:p>
          <w:p>
            <w:pPr>
              <w:pStyle w:val="7"/>
              <w:spacing w:before="62" w:line="238" w:lineRule="auto"/>
              <w:ind w:left="33" w:firstLine="64"/>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9"/>
                <w:sz w:val="18"/>
                <w:szCs w:val="18"/>
              </w:rPr>
              <w:t>《固定资产投资项目节能审查办法》(2023年国家发展</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3"/>
                <w:sz w:val="18"/>
                <w:szCs w:val="18"/>
              </w:rPr>
              <w:t>改革委令第2号)第二十三条、《湖北省固定资产投资</w:t>
            </w:r>
            <w:r>
              <w:rPr>
                <w:rFonts w:hint="eastAsia" w:asciiTheme="minorEastAsia" w:hAnsiTheme="minorEastAsia" w:eastAsiaTheme="minorEastAsia" w:cstheme="minorEastAsia"/>
                <w:spacing w:val="14"/>
                <w:sz w:val="18"/>
                <w:szCs w:val="18"/>
              </w:rPr>
              <w:t xml:space="preserve"> </w:t>
            </w:r>
            <w:r>
              <w:rPr>
                <w:rFonts w:hint="eastAsia" w:asciiTheme="minorEastAsia" w:hAnsiTheme="minorEastAsia" w:eastAsiaTheme="minorEastAsia" w:cstheme="minorEastAsia"/>
                <w:spacing w:val="-1"/>
                <w:sz w:val="18"/>
                <w:szCs w:val="18"/>
              </w:rPr>
              <w:t>项目节能审查实施办法》(鄂发改规〔2023〕1号)第</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17"/>
                <w:sz w:val="18"/>
                <w:szCs w:val="18"/>
              </w:rPr>
              <w:t>四条：</w:t>
            </w:r>
            <w:r>
              <w:rPr>
                <w:rFonts w:hint="eastAsia" w:asciiTheme="minorEastAsia" w:hAnsiTheme="minorEastAsia" w:eastAsiaTheme="minorEastAsia" w:cstheme="minorEastAsia"/>
                <w:spacing w:val="-13"/>
                <w:sz w:val="18"/>
                <w:szCs w:val="18"/>
              </w:rPr>
              <w:t>由节能审查机关责令停止建设或停止生产、</w:t>
            </w:r>
            <w:r>
              <w:rPr>
                <w:rFonts w:hint="eastAsia" w:asciiTheme="minorEastAsia" w:hAnsiTheme="minorEastAsia" w:eastAsiaTheme="minorEastAsia" w:cstheme="minorEastAsia"/>
                <w:spacing w:val="-14"/>
                <w:sz w:val="18"/>
                <w:szCs w:val="18"/>
              </w:rPr>
              <w:t>使用，</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6"/>
                <w:sz w:val="18"/>
                <w:szCs w:val="18"/>
              </w:rPr>
              <w:t>限期整改，并对建设单位进行通报批评，视情节处10</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pacing w:val="-11"/>
                <w:sz w:val="18"/>
                <w:szCs w:val="18"/>
              </w:rPr>
              <w:t>万元以下罚款。经节能审查机关认定完成整改的项目，</w:t>
            </w:r>
            <w:r>
              <w:rPr>
                <w:rFonts w:hint="eastAsia" w:asciiTheme="minorEastAsia" w:hAnsiTheme="minorEastAsia" w:eastAsiaTheme="minorEastAsia" w:cstheme="minorEastAsia"/>
                <w:spacing w:val="16"/>
                <w:sz w:val="18"/>
                <w:szCs w:val="18"/>
              </w:rPr>
              <w:t xml:space="preserve"> </w:t>
            </w:r>
            <w:r>
              <w:rPr>
                <w:rFonts w:hint="eastAsia" w:asciiTheme="minorEastAsia" w:hAnsiTheme="minorEastAsia" w:eastAsiaTheme="minorEastAsia" w:cstheme="minorEastAsia"/>
                <w:spacing w:val="-6"/>
                <w:sz w:val="18"/>
                <w:szCs w:val="18"/>
              </w:rPr>
              <w:t>节能审查机关可依据实际情况出具整改完成证</w:t>
            </w:r>
            <w:r>
              <w:rPr>
                <w:rFonts w:hint="eastAsia" w:asciiTheme="minorEastAsia" w:hAnsiTheme="minorEastAsia" w:eastAsiaTheme="minorEastAsia" w:cstheme="minorEastAsia"/>
                <w:spacing w:val="-7"/>
                <w:sz w:val="18"/>
                <w:szCs w:val="18"/>
              </w:rPr>
              <w:t>明。不</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6"/>
                <w:sz w:val="18"/>
                <w:szCs w:val="18"/>
              </w:rPr>
              <w:t>能整改或逾期不整改的生产性项目，由节能</w:t>
            </w:r>
            <w:r>
              <w:rPr>
                <w:rFonts w:hint="eastAsia" w:asciiTheme="minorEastAsia" w:hAnsiTheme="minorEastAsia" w:eastAsiaTheme="minorEastAsia" w:cstheme="minorEastAsia"/>
                <w:spacing w:val="-7"/>
                <w:sz w:val="18"/>
                <w:szCs w:val="18"/>
              </w:rPr>
              <w:t>审查机关</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3"/>
                <w:sz w:val="18"/>
                <w:szCs w:val="18"/>
              </w:rPr>
              <w:t>报请本级人民政府按照国务院规定的权限责令关闭，</w:t>
            </w:r>
            <w:r>
              <w:rPr>
                <w:rFonts w:hint="eastAsia" w:asciiTheme="minorEastAsia" w:hAnsiTheme="minorEastAsia" w:eastAsiaTheme="minorEastAsia" w:cstheme="minorEastAsia"/>
                <w:spacing w:val="11"/>
                <w:sz w:val="18"/>
                <w:szCs w:val="18"/>
              </w:rPr>
              <w:t xml:space="preserve"> </w:t>
            </w:r>
            <w:r>
              <w:rPr>
                <w:rFonts w:hint="eastAsia" w:asciiTheme="minorEastAsia" w:hAnsiTheme="minorEastAsia" w:eastAsiaTheme="minorEastAsia" w:cstheme="minorEastAsia"/>
                <w:spacing w:val="1"/>
                <w:sz w:val="18"/>
                <w:szCs w:val="18"/>
              </w:rPr>
              <w:t>并依法追究有关责任人的责任。</w:t>
            </w:r>
          </w:p>
        </w:tc>
        <w:tc>
          <w:tcPr>
            <w:tcW w:w="1219" w:type="dxa"/>
            <w:vAlign w:val="top"/>
          </w:tcPr>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pStyle w:val="7"/>
              <w:spacing w:before="45" w:line="227" w:lineRule="auto"/>
              <w:ind w:left="535"/>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p>
        </w:tc>
        <w:tc>
          <w:tcPr>
            <w:tcW w:w="3518" w:type="dxa"/>
            <w:vAlign w:val="top"/>
          </w:tcPr>
          <w:p>
            <w:pPr>
              <w:pStyle w:val="7"/>
              <w:spacing w:before="59" w:line="303" w:lineRule="auto"/>
              <w:ind w:left="47" w:right="3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1.满足以下条件的项目可不单独编制节能</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1"/>
                <w:sz w:val="18"/>
                <w:szCs w:val="18"/>
              </w:rPr>
              <w:t>报告，节能审查机关对项目不再单独进行</w:t>
            </w:r>
            <w:r>
              <w:rPr>
                <w:rFonts w:hint="eastAsia" w:asciiTheme="minorEastAsia" w:hAnsiTheme="minorEastAsia" w:eastAsiaTheme="minorEastAsia" w:cstheme="minorEastAsia"/>
                <w:spacing w:val="11"/>
                <w:sz w:val="18"/>
                <w:szCs w:val="18"/>
              </w:rPr>
              <w:t xml:space="preserve"> </w:t>
            </w:r>
            <w:r>
              <w:rPr>
                <w:rFonts w:hint="eastAsia" w:asciiTheme="minorEastAsia" w:hAnsiTheme="minorEastAsia" w:eastAsiaTheme="minorEastAsia" w:cstheme="minorEastAsia"/>
                <w:spacing w:val="8"/>
                <w:sz w:val="18"/>
                <w:szCs w:val="18"/>
              </w:rPr>
              <w:t>节能审查：</w:t>
            </w:r>
          </w:p>
          <w:p>
            <w:pPr>
              <w:pStyle w:val="7"/>
              <w:spacing w:before="3" w:line="274" w:lineRule="auto"/>
              <w:ind w:left="86" w:firstLine="11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(1)年综合能源消费量不满1000吨标准煤</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z w:val="18"/>
                <w:szCs w:val="18"/>
              </w:rPr>
              <w:t>且年电力消费量不满500万千瓦时的固定</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14"/>
                <w:sz w:val="18"/>
                <w:szCs w:val="18"/>
              </w:rPr>
              <w:t>资产投资项目；</w:t>
            </w:r>
          </w:p>
          <w:p>
            <w:pPr>
              <w:pStyle w:val="7"/>
              <w:spacing w:before="95" w:line="278" w:lineRule="auto"/>
              <w:ind w:left="47" w:firstLine="15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(2)涉及国家秘密的固定资产投资项目以</w:t>
            </w:r>
            <w:r>
              <w:rPr>
                <w:rFonts w:hint="eastAsia" w:asciiTheme="minorEastAsia" w:hAnsiTheme="minorEastAsia" w:eastAsiaTheme="minorEastAsia" w:cstheme="minorEastAsia"/>
                <w:spacing w:val="13"/>
                <w:sz w:val="18"/>
                <w:szCs w:val="18"/>
              </w:rPr>
              <w:t xml:space="preserve"> </w:t>
            </w:r>
            <w:r>
              <w:rPr>
                <w:rFonts w:hint="eastAsia" w:asciiTheme="minorEastAsia" w:hAnsiTheme="minorEastAsia" w:eastAsiaTheme="minorEastAsia" w:cstheme="minorEastAsia"/>
                <w:spacing w:val="2"/>
                <w:sz w:val="18"/>
                <w:szCs w:val="18"/>
              </w:rPr>
              <w:t>及用能工艺简单、节能潜力小的行业(具</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pacing w:val="-2"/>
                <w:sz w:val="18"/>
                <w:szCs w:val="18"/>
              </w:rPr>
              <w:t>体行业目录由国家发展改革委制定公布并</w:t>
            </w:r>
            <w:r>
              <w:rPr>
                <w:rFonts w:hint="eastAsia" w:asciiTheme="minorEastAsia" w:hAnsiTheme="minorEastAsia" w:eastAsiaTheme="minorEastAsia" w:cstheme="minorEastAsia"/>
                <w:spacing w:val="11"/>
                <w:sz w:val="18"/>
                <w:szCs w:val="18"/>
              </w:rPr>
              <w:t xml:space="preserve"> </w:t>
            </w:r>
            <w:r>
              <w:rPr>
                <w:rFonts w:hint="eastAsia" w:asciiTheme="minorEastAsia" w:hAnsiTheme="minorEastAsia" w:eastAsiaTheme="minorEastAsia" w:cstheme="minorEastAsia"/>
                <w:spacing w:val="3"/>
                <w:sz w:val="18"/>
                <w:szCs w:val="18"/>
              </w:rPr>
              <w:t>适时更新)的固定资产投资项目。</w:t>
            </w:r>
          </w:p>
          <w:p>
            <w:pPr>
              <w:pStyle w:val="7"/>
              <w:spacing w:before="92" w:line="218" w:lineRule="auto"/>
              <w:jc w:val="left"/>
              <w:rPr>
                <w:rFonts w:hint="eastAsia" w:asciiTheme="minorEastAsia" w:hAnsiTheme="minorEastAsia" w:eastAsiaTheme="minorEastAsia" w:cstheme="minorEastAsia"/>
                <w:sz w:val="18"/>
                <w:szCs w:val="18"/>
              </w:rPr>
            </w:pPr>
            <w:r>
              <w:rPr>
                <w:rFonts w:hint="eastAsia" w:asciiTheme="majorEastAsia" w:hAnsiTheme="majorEastAsia" w:eastAsiaTheme="majorEastAsia" w:cstheme="majorEastAsia"/>
                <w:spacing w:val="-12"/>
                <w:sz w:val="18"/>
                <w:szCs w:val="18"/>
                <w:lang w:val="en-US" w:eastAsia="zh-CN"/>
              </w:rPr>
              <w:t>2</w:t>
            </w:r>
            <w:r>
              <w:rPr>
                <w:rFonts w:hint="eastAsia" w:asciiTheme="majorEastAsia" w:hAnsiTheme="majorEastAsia" w:eastAsiaTheme="majorEastAsia" w:cstheme="majorEastAsia"/>
                <w:spacing w:val="-12"/>
                <w:sz w:val="18"/>
                <w:szCs w:val="18"/>
              </w:rPr>
              <w:t>.</w:t>
            </w:r>
            <w:r>
              <w:rPr>
                <w:rFonts w:hint="eastAsia" w:asciiTheme="minorEastAsia" w:hAnsiTheme="minorEastAsia" w:eastAsiaTheme="minorEastAsia" w:cstheme="minorEastAsia"/>
                <w:spacing w:val="-12"/>
                <w:sz w:val="18"/>
                <w:szCs w:val="18"/>
              </w:rPr>
              <w:t>其</w:t>
            </w:r>
            <w:r>
              <w:rPr>
                <w:rFonts w:hint="eastAsia" w:asciiTheme="minorEastAsia" w:hAnsiTheme="minorEastAsia" w:eastAsiaTheme="minorEastAsia" w:cstheme="minorEastAsia"/>
                <w:spacing w:val="-11"/>
                <w:sz w:val="18"/>
                <w:szCs w:val="18"/>
              </w:rPr>
              <w:t>他项目应编制节能报告，向节能审查</w:t>
            </w:r>
            <w:r>
              <w:rPr>
                <w:rFonts w:hint="eastAsia" w:asciiTheme="minorEastAsia" w:hAnsiTheme="minorEastAsia" w:eastAsiaTheme="minorEastAsia" w:cstheme="minorEastAsia"/>
                <w:spacing w:val="-8"/>
                <w:sz w:val="18"/>
                <w:szCs w:val="18"/>
              </w:rPr>
              <w:t>机</w:t>
            </w:r>
          </w:p>
          <w:p>
            <w:pPr>
              <w:pStyle w:val="7"/>
              <w:spacing w:before="87" w:line="219" w:lineRule="auto"/>
              <w:ind w:left="47"/>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关提出审查申请，并在项目开工建设前获</w:t>
            </w:r>
          </w:p>
          <w:p>
            <w:pPr>
              <w:pStyle w:val="7"/>
              <w:spacing w:before="83" w:line="219"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得节能审查机关出具的节能审查意见。</w:t>
            </w:r>
          </w:p>
          <w:p>
            <w:pPr>
              <w:pStyle w:val="7"/>
              <w:spacing w:before="105" w:line="275" w:lineRule="auto"/>
              <w:ind w:left="97"/>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0"/>
                <w:sz w:val="18"/>
                <w:szCs w:val="18"/>
              </w:rPr>
              <w:t>3.“两高”项目节能</w:t>
            </w:r>
            <w:r>
              <w:rPr>
                <w:rFonts w:hint="eastAsia" w:asciiTheme="minorEastAsia" w:hAnsiTheme="minorEastAsia" w:eastAsiaTheme="minorEastAsia" w:cstheme="minorEastAsia"/>
                <w:spacing w:val="-19"/>
                <w:sz w:val="18"/>
                <w:szCs w:val="18"/>
              </w:rPr>
              <w:t>审查按照省、市相关文</w:t>
            </w:r>
            <w:r>
              <w:rPr>
                <w:rFonts w:hint="eastAsia" w:asciiTheme="minorEastAsia" w:hAnsiTheme="minorEastAsia" w:eastAsiaTheme="minorEastAsia" w:cstheme="minorEastAsia"/>
                <w:spacing w:val="-9"/>
                <w:sz w:val="18"/>
                <w:szCs w:val="18"/>
              </w:rPr>
              <w:t>件</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2"/>
                <w:sz w:val="18"/>
                <w:szCs w:val="18"/>
              </w:rPr>
              <w:t>要求执行。</w:t>
            </w:r>
          </w:p>
        </w:tc>
        <w:tc>
          <w:tcPr>
            <w:tcW w:w="1754" w:type="dxa"/>
            <w:vAlign w:val="top"/>
          </w:tcPr>
          <w:p>
            <w:pPr>
              <w:spacing w:line="269" w:lineRule="auto"/>
              <w:jc w:val="left"/>
              <w:rPr>
                <w:rFonts w:hint="eastAsia" w:asciiTheme="minorEastAsia" w:hAnsiTheme="minorEastAsia" w:eastAsiaTheme="minorEastAsia" w:cstheme="minorEastAsia"/>
                <w:sz w:val="18"/>
                <w:szCs w:val="18"/>
              </w:rPr>
            </w:pPr>
          </w:p>
          <w:p>
            <w:pPr>
              <w:spacing w:line="269" w:lineRule="auto"/>
              <w:jc w:val="left"/>
              <w:rPr>
                <w:rFonts w:hint="eastAsia" w:asciiTheme="minorEastAsia" w:hAnsiTheme="minorEastAsia" w:eastAsiaTheme="minorEastAsia" w:cstheme="minorEastAsia"/>
                <w:sz w:val="18"/>
                <w:szCs w:val="18"/>
              </w:rPr>
            </w:pPr>
          </w:p>
          <w:p>
            <w:pPr>
              <w:spacing w:line="269" w:lineRule="auto"/>
              <w:jc w:val="left"/>
              <w:rPr>
                <w:rFonts w:hint="eastAsia" w:asciiTheme="minorEastAsia" w:hAnsiTheme="minorEastAsia" w:eastAsiaTheme="minorEastAsia" w:cstheme="minorEastAsia"/>
                <w:sz w:val="18"/>
                <w:szCs w:val="18"/>
              </w:rPr>
            </w:pPr>
          </w:p>
          <w:p>
            <w:pPr>
              <w:spacing w:line="269" w:lineRule="auto"/>
              <w:jc w:val="left"/>
              <w:rPr>
                <w:rFonts w:hint="eastAsia" w:asciiTheme="minorEastAsia" w:hAnsiTheme="minorEastAsia" w:eastAsiaTheme="minorEastAsia" w:cstheme="minorEastAsia"/>
                <w:sz w:val="18"/>
                <w:szCs w:val="18"/>
              </w:rPr>
            </w:pPr>
          </w:p>
          <w:p>
            <w:pPr>
              <w:spacing w:line="269" w:lineRule="auto"/>
              <w:jc w:val="left"/>
              <w:rPr>
                <w:rFonts w:hint="eastAsia" w:asciiTheme="minorEastAsia" w:hAnsiTheme="minorEastAsia" w:eastAsiaTheme="minorEastAsia" w:cstheme="minorEastAsia"/>
                <w:sz w:val="18"/>
                <w:szCs w:val="18"/>
              </w:rPr>
            </w:pPr>
          </w:p>
          <w:p>
            <w:pPr>
              <w:spacing w:line="270" w:lineRule="auto"/>
              <w:jc w:val="left"/>
              <w:rPr>
                <w:rFonts w:hint="eastAsia" w:asciiTheme="minorEastAsia" w:hAnsiTheme="minorEastAsia" w:eastAsiaTheme="minorEastAsia" w:cstheme="minorEastAsia"/>
                <w:sz w:val="18"/>
                <w:szCs w:val="18"/>
              </w:rPr>
            </w:pPr>
          </w:p>
          <w:p>
            <w:pPr>
              <w:spacing w:line="270" w:lineRule="auto"/>
              <w:jc w:val="left"/>
              <w:rPr>
                <w:rFonts w:hint="eastAsia" w:asciiTheme="minorEastAsia" w:hAnsiTheme="minorEastAsia" w:eastAsiaTheme="minorEastAsia" w:cstheme="minorEastAsia"/>
                <w:sz w:val="18"/>
                <w:szCs w:val="18"/>
              </w:rPr>
            </w:pPr>
          </w:p>
          <w:p>
            <w:pPr>
              <w:pStyle w:val="7"/>
              <w:spacing w:before="61" w:line="283" w:lineRule="auto"/>
              <w:ind w:right="47"/>
              <w:jc w:val="center"/>
              <w:rPr>
                <w:rFonts w:hint="eastAsia"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局能源股</w:t>
            </w:r>
          </w:p>
          <w:p>
            <w:pPr>
              <w:pStyle w:val="7"/>
              <w:spacing w:before="61" w:line="283" w:lineRule="auto"/>
              <w:ind w:right="4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联系</w:t>
            </w:r>
            <w:r>
              <w:rPr>
                <w:rFonts w:hint="eastAsia" w:asciiTheme="minorEastAsia" w:hAnsiTheme="minorEastAsia" w:eastAsiaTheme="minorEastAsia" w:cstheme="minorEastAsia"/>
                <w:spacing w:val="3"/>
                <w:sz w:val="18"/>
                <w:szCs w:val="18"/>
              </w:rPr>
              <w:t>电话：</w:t>
            </w:r>
            <w:r>
              <w:rPr>
                <w:rFonts w:hint="eastAsia" w:asciiTheme="minorEastAsia" w:hAnsiTheme="minorEastAsia" w:eastAsiaTheme="minorEastAsia" w:cstheme="minorEastAsia"/>
                <w:spacing w:val="3"/>
                <w:sz w:val="18"/>
                <w:szCs w:val="18"/>
                <w:lang w:val="en-US" w:eastAsia="zh-CN"/>
              </w:rPr>
              <w:t>0714-8718311</w:t>
            </w:r>
            <w:r>
              <w:rPr>
                <w:rFonts w:hint="eastAsia" w:asciiTheme="minorEastAsia" w:hAnsiTheme="minorEastAsia" w:eastAsiaTheme="minorEastAsia" w:cstheme="minorEastAsia"/>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2" w:hRule="atLeast"/>
        </w:trPr>
        <w:tc>
          <w:tcPr>
            <w:tcW w:w="814" w:type="dxa"/>
            <w:vAlign w:val="top"/>
          </w:tcPr>
          <w:p>
            <w:pPr>
              <w:spacing w:line="251" w:lineRule="auto"/>
              <w:jc w:val="left"/>
              <w:rPr>
                <w:rFonts w:ascii="Arial"/>
                <w:sz w:val="21"/>
              </w:rPr>
            </w:pPr>
          </w:p>
          <w:p>
            <w:pPr>
              <w:spacing w:line="251" w:lineRule="auto"/>
              <w:jc w:val="left"/>
              <w:rPr>
                <w:rFonts w:ascii="Arial"/>
                <w:sz w:val="21"/>
              </w:rPr>
            </w:pPr>
          </w:p>
          <w:p>
            <w:pPr>
              <w:spacing w:line="251" w:lineRule="auto"/>
              <w:jc w:val="left"/>
              <w:rPr>
                <w:rFonts w:ascii="Arial"/>
                <w:sz w:val="21"/>
              </w:rPr>
            </w:pPr>
          </w:p>
          <w:p>
            <w:pPr>
              <w:spacing w:line="252" w:lineRule="auto"/>
              <w:jc w:val="left"/>
              <w:rPr>
                <w:rFonts w:ascii="Arial"/>
                <w:sz w:val="21"/>
              </w:rPr>
            </w:pPr>
          </w:p>
          <w:p>
            <w:pPr>
              <w:pStyle w:val="7"/>
              <w:spacing w:before="62" w:line="241" w:lineRule="auto"/>
              <w:ind w:left="345"/>
              <w:jc w:val="left"/>
            </w:pPr>
            <w:r>
              <w:t>2</w:t>
            </w:r>
          </w:p>
        </w:tc>
        <w:tc>
          <w:tcPr>
            <w:tcW w:w="1699" w:type="dxa"/>
            <w:vAlign w:val="top"/>
          </w:tcPr>
          <w:p>
            <w:pPr>
              <w:spacing w:line="275" w:lineRule="auto"/>
              <w:jc w:val="left"/>
              <w:rPr>
                <w:rFonts w:hint="eastAsia" w:asciiTheme="minorEastAsia" w:hAnsiTheme="minorEastAsia" w:eastAsiaTheme="minorEastAsia" w:cstheme="minorEastAsia"/>
                <w:sz w:val="18"/>
                <w:szCs w:val="18"/>
              </w:rPr>
            </w:pPr>
          </w:p>
          <w:p>
            <w:pPr>
              <w:spacing w:line="275" w:lineRule="auto"/>
              <w:jc w:val="left"/>
              <w:rPr>
                <w:rFonts w:hint="eastAsia" w:asciiTheme="minorEastAsia" w:hAnsiTheme="minorEastAsia" w:eastAsiaTheme="minorEastAsia" w:cstheme="minorEastAsia"/>
                <w:sz w:val="18"/>
                <w:szCs w:val="18"/>
              </w:rPr>
            </w:pPr>
          </w:p>
          <w:p>
            <w:pPr>
              <w:spacing w:line="276" w:lineRule="auto"/>
              <w:jc w:val="left"/>
              <w:rPr>
                <w:rFonts w:hint="eastAsia" w:asciiTheme="minorEastAsia" w:hAnsiTheme="minorEastAsia" w:eastAsiaTheme="minorEastAsia" w:cstheme="minorEastAsia"/>
                <w:sz w:val="18"/>
                <w:szCs w:val="18"/>
              </w:rPr>
            </w:pPr>
          </w:p>
          <w:p>
            <w:pPr>
              <w:pStyle w:val="7"/>
              <w:spacing w:before="62" w:line="293" w:lineRule="auto"/>
              <w:ind w:left="89" w:right="71" w:hanging="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按规定报送节能审</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查所需材料</w:t>
            </w:r>
          </w:p>
        </w:tc>
        <w:tc>
          <w:tcPr>
            <w:tcW w:w="1699" w:type="dxa"/>
            <w:vAlign w:val="top"/>
          </w:tcPr>
          <w:p>
            <w:pPr>
              <w:spacing w:line="335" w:lineRule="auto"/>
              <w:jc w:val="left"/>
              <w:rPr>
                <w:rFonts w:hint="eastAsia" w:asciiTheme="minorEastAsia" w:hAnsiTheme="minorEastAsia" w:eastAsiaTheme="minorEastAsia" w:cstheme="minorEastAsia"/>
                <w:sz w:val="18"/>
                <w:szCs w:val="18"/>
              </w:rPr>
            </w:pPr>
          </w:p>
          <w:p>
            <w:pPr>
              <w:spacing w:line="335" w:lineRule="auto"/>
              <w:jc w:val="left"/>
              <w:rPr>
                <w:rFonts w:hint="eastAsia" w:asciiTheme="minorEastAsia" w:hAnsiTheme="minorEastAsia" w:eastAsiaTheme="minorEastAsia" w:cstheme="minorEastAsia"/>
                <w:sz w:val="18"/>
                <w:szCs w:val="18"/>
              </w:rPr>
            </w:pPr>
          </w:p>
          <w:p>
            <w:pPr>
              <w:pStyle w:val="7"/>
              <w:spacing w:before="62" w:line="311" w:lineRule="auto"/>
              <w:ind w:left="81" w:right="5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节能审查时对项目</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1"/>
                <w:sz w:val="18"/>
                <w:szCs w:val="18"/>
              </w:rPr>
              <w:t>进行拆分、提供虚</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z w:val="18"/>
                <w:szCs w:val="18"/>
              </w:rPr>
              <w:t>假材料等</w:t>
            </w:r>
          </w:p>
        </w:tc>
        <w:tc>
          <w:tcPr>
            <w:tcW w:w="4357" w:type="dxa"/>
            <w:vAlign w:val="top"/>
          </w:tcPr>
          <w:p>
            <w:pPr>
              <w:spacing w:line="254" w:lineRule="auto"/>
              <w:jc w:val="left"/>
              <w:rPr>
                <w:rFonts w:hint="eastAsia" w:asciiTheme="minorEastAsia" w:hAnsiTheme="minorEastAsia" w:eastAsiaTheme="minorEastAsia" w:cstheme="minorEastAsia"/>
                <w:sz w:val="18"/>
                <w:szCs w:val="18"/>
              </w:rPr>
            </w:pPr>
          </w:p>
          <w:p>
            <w:pPr>
              <w:spacing w:line="254" w:lineRule="auto"/>
              <w:jc w:val="left"/>
              <w:rPr>
                <w:rFonts w:hint="eastAsia" w:asciiTheme="minorEastAsia" w:hAnsiTheme="minorEastAsia" w:eastAsiaTheme="minorEastAsia" w:cstheme="minorEastAsia"/>
                <w:sz w:val="18"/>
                <w:szCs w:val="18"/>
              </w:rPr>
            </w:pPr>
          </w:p>
          <w:p>
            <w:pPr>
              <w:pStyle w:val="7"/>
              <w:spacing w:before="61" w:line="231" w:lineRule="auto"/>
              <w:ind w:left="13" w:firstLine="84"/>
              <w:jc w:val="left"/>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0"/>
                <w:sz w:val="18"/>
                <w:szCs w:val="18"/>
              </w:rPr>
              <w:t>《固定资产投资项目节能审查办法》(2023年国家发展</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2"/>
                <w:sz w:val="18"/>
                <w:szCs w:val="18"/>
              </w:rPr>
              <w:t>改革委令第2号)第二十四条、《湖北省固定资产投资</w:t>
            </w:r>
            <w:r>
              <w:rPr>
                <w:rFonts w:hint="eastAsia" w:asciiTheme="minorEastAsia" w:hAnsiTheme="minorEastAsia" w:eastAsiaTheme="minorEastAsia" w:cstheme="minorEastAsia"/>
                <w:spacing w:val="10"/>
                <w:sz w:val="18"/>
                <w:szCs w:val="18"/>
              </w:rPr>
              <w:t xml:space="preserve"> </w:t>
            </w:r>
            <w:r>
              <w:rPr>
                <w:rFonts w:hint="eastAsia" w:asciiTheme="minorEastAsia" w:hAnsiTheme="minorEastAsia" w:eastAsiaTheme="minorEastAsia" w:cstheme="minorEastAsia"/>
                <w:spacing w:val="-1"/>
                <w:sz w:val="18"/>
                <w:szCs w:val="18"/>
              </w:rPr>
              <w:t>项目节能审查实施办法》(鄂发改规〔2023〕1号)</w:t>
            </w:r>
          </w:p>
          <w:p>
            <w:pPr>
              <w:pStyle w:val="7"/>
              <w:spacing w:before="61" w:line="231"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第</w:t>
            </w:r>
            <w:r>
              <w:rPr>
                <w:rFonts w:hint="eastAsia" w:asciiTheme="minorEastAsia" w:hAnsiTheme="minorEastAsia" w:eastAsiaTheme="minorEastAsia" w:cstheme="minorEastAsia"/>
                <w:spacing w:val="9"/>
                <w:sz w:val="18"/>
                <w:szCs w:val="18"/>
              </w:rPr>
              <w:t>十条第七款：</w:t>
            </w:r>
            <w:r>
              <w:rPr>
                <w:rFonts w:hint="eastAsia" w:asciiTheme="minorEastAsia" w:hAnsiTheme="minorEastAsia" w:eastAsiaTheme="minorEastAsia" w:cstheme="minorEastAsia"/>
                <w:spacing w:val="-1"/>
                <w:sz w:val="18"/>
                <w:szCs w:val="18"/>
              </w:rPr>
              <w:t>由节能审查机关撤销项目的节能审查意见。</w:t>
            </w:r>
          </w:p>
        </w:tc>
        <w:tc>
          <w:tcPr>
            <w:tcW w:w="1219" w:type="dxa"/>
            <w:vAlign w:val="top"/>
          </w:tcPr>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8" w:lineRule="auto"/>
              <w:jc w:val="left"/>
              <w:rPr>
                <w:rFonts w:hint="eastAsia" w:asciiTheme="minorEastAsia" w:hAnsiTheme="minorEastAsia" w:eastAsiaTheme="minorEastAsia" w:cstheme="minorEastAsia"/>
                <w:sz w:val="16"/>
                <w:szCs w:val="16"/>
              </w:rPr>
            </w:pPr>
          </w:p>
          <w:p>
            <w:pPr>
              <w:spacing w:line="249" w:lineRule="auto"/>
              <w:jc w:val="left"/>
              <w:rPr>
                <w:rFonts w:hint="eastAsia" w:asciiTheme="minorEastAsia" w:hAnsiTheme="minorEastAsia" w:eastAsiaTheme="minorEastAsia" w:cstheme="minorEastAsia"/>
                <w:sz w:val="16"/>
                <w:szCs w:val="16"/>
              </w:rPr>
            </w:pPr>
          </w:p>
          <w:p>
            <w:pPr>
              <w:pStyle w:val="7"/>
              <w:spacing w:before="62" w:line="227" w:lineRule="auto"/>
              <w:ind w:left="505"/>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p>
        </w:tc>
        <w:tc>
          <w:tcPr>
            <w:tcW w:w="3518" w:type="dxa"/>
            <w:vAlign w:val="top"/>
          </w:tcPr>
          <w:p>
            <w:pPr>
              <w:spacing w:line="272"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pStyle w:val="7"/>
              <w:spacing w:before="61" w:line="324" w:lineRule="auto"/>
              <w:ind w:left="97" w:right="49" w:hanging="5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按照规定如实、完整报送节能审查所需材</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2"/>
                <w:sz w:val="18"/>
                <w:szCs w:val="18"/>
              </w:rPr>
              <w:t>料。</w:t>
            </w:r>
          </w:p>
        </w:tc>
        <w:tc>
          <w:tcPr>
            <w:tcW w:w="1754" w:type="dxa"/>
            <w:vAlign w:val="top"/>
          </w:tcPr>
          <w:p>
            <w:pPr>
              <w:spacing w:line="339" w:lineRule="auto"/>
              <w:jc w:val="left"/>
              <w:rPr>
                <w:rFonts w:hint="eastAsia" w:asciiTheme="minorEastAsia" w:hAnsiTheme="minorEastAsia" w:eastAsiaTheme="minorEastAsia" w:cstheme="minorEastAsia"/>
                <w:sz w:val="18"/>
                <w:szCs w:val="18"/>
              </w:rPr>
            </w:pPr>
          </w:p>
          <w:p>
            <w:pPr>
              <w:spacing w:line="339" w:lineRule="auto"/>
              <w:jc w:val="left"/>
              <w:rPr>
                <w:rFonts w:hint="eastAsia" w:asciiTheme="minorEastAsia" w:hAnsiTheme="minorEastAsia" w:eastAsiaTheme="minorEastAsia" w:cstheme="minorEastAsia"/>
                <w:sz w:val="18"/>
                <w:szCs w:val="18"/>
              </w:rPr>
            </w:pPr>
          </w:p>
          <w:p>
            <w:pPr>
              <w:pStyle w:val="7"/>
              <w:spacing w:before="61" w:line="293" w:lineRule="auto"/>
              <w:ind w:right="47"/>
              <w:jc w:val="center"/>
              <w:rPr>
                <w:rFonts w:hint="eastAsia"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局能源股</w:t>
            </w:r>
          </w:p>
          <w:p>
            <w:pPr>
              <w:pStyle w:val="7"/>
              <w:spacing w:before="61" w:line="293" w:lineRule="auto"/>
              <w:ind w:right="4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联系</w:t>
            </w:r>
            <w:r>
              <w:rPr>
                <w:rFonts w:hint="eastAsia" w:asciiTheme="minorEastAsia" w:hAnsiTheme="minorEastAsia" w:eastAsiaTheme="minorEastAsia" w:cstheme="minorEastAsia"/>
                <w:spacing w:val="3"/>
                <w:sz w:val="18"/>
                <w:szCs w:val="18"/>
              </w:rPr>
              <w:t>电话：</w:t>
            </w:r>
            <w:r>
              <w:rPr>
                <w:rFonts w:hint="eastAsia" w:asciiTheme="minorEastAsia" w:hAnsiTheme="minorEastAsia" w:eastAsiaTheme="minorEastAsia" w:cstheme="minorEastAsia"/>
                <w:spacing w:val="3"/>
                <w:sz w:val="18"/>
                <w:szCs w:val="18"/>
                <w:lang w:val="en-US" w:eastAsia="zh-CN"/>
              </w:rPr>
              <w:t>0714-8718311</w:t>
            </w:r>
            <w:r>
              <w:rPr>
                <w:rFonts w:hint="eastAsia" w:asciiTheme="minorEastAsia" w:hAnsiTheme="minorEastAsia" w:eastAsiaTheme="minorEastAsia" w:cstheme="minorEastAsia"/>
                <w:spacing w:val="3"/>
                <w:sz w:val="18"/>
                <w:szCs w:val="18"/>
              </w:rPr>
              <w:t>)</w:t>
            </w:r>
          </w:p>
        </w:tc>
      </w:tr>
    </w:tbl>
    <w:p>
      <w:pPr>
        <w:pStyle w:val="2"/>
        <w:jc w:val="left"/>
      </w:pPr>
    </w:p>
    <w:p>
      <w:pPr>
        <w:jc w:val="left"/>
        <w:sectPr>
          <w:footerReference r:id="rId3" w:type="default"/>
          <w:pgSz w:w="16860" w:h="11940"/>
          <w:pgMar w:top="1014" w:right="894" w:bottom="1165" w:left="894" w:header="0" w:footer="1039" w:gutter="0"/>
          <w:cols w:space="720" w:num="1"/>
        </w:sectPr>
      </w:pPr>
    </w:p>
    <w:p>
      <w:pPr>
        <w:spacing w:before="18"/>
        <w:jc w:val="left"/>
      </w:pPr>
    </w:p>
    <w:p>
      <w:pPr>
        <w:spacing w:before="18"/>
        <w:jc w:val="left"/>
      </w:pPr>
    </w:p>
    <w:p>
      <w:pPr>
        <w:spacing w:before="17"/>
        <w:jc w:val="left"/>
      </w:pPr>
    </w:p>
    <w:tbl>
      <w:tblPr>
        <w:tblStyle w:val="6"/>
        <w:tblW w:w="15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709"/>
        <w:gridCol w:w="1689"/>
        <w:gridCol w:w="4357"/>
        <w:gridCol w:w="1229"/>
        <w:gridCol w:w="3517"/>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14" w:type="dxa"/>
            <w:vAlign w:val="top"/>
          </w:tcPr>
          <w:p>
            <w:pPr>
              <w:pStyle w:val="7"/>
              <w:spacing w:before="202" w:line="221" w:lineRule="auto"/>
              <w:ind w:left="158"/>
              <w:jc w:val="left"/>
              <w:rPr>
                <w:sz w:val="24"/>
                <w:szCs w:val="24"/>
              </w:rPr>
            </w:pPr>
            <w:r>
              <w:rPr>
                <w:b/>
                <w:bCs/>
                <w:spacing w:val="-5"/>
                <w:sz w:val="24"/>
                <w:szCs w:val="24"/>
              </w:rPr>
              <w:t>序号</w:t>
            </w:r>
          </w:p>
        </w:tc>
        <w:tc>
          <w:tcPr>
            <w:tcW w:w="1709" w:type="dxa"/>
            <w:vAlign w:val="top"/>
          </w:tcPr>
          <w:p>
            <w:pPr>
              <w:pStyle w:val="7"/>
              <w:spacing w:before="202" w:line="220" w:lineRule="auto"/>
              <w:ind w:left="364"/>
              <w:jc w:val="left"/>
              <w:rPr>
                <w:sz w:val="24"/>
                <w:szCs w:val="24"/>
              </w:rPr>
            </w:pPr>
            <w:r>
              <w:rPr>
                <w:b/>
                <w:bCs/>
                <w:spacing w:val="-1"/>
                <w:sz w:val="24"/>
                <w:szCs w:val="24"/>
              </w:rPr>
              <w:t>指导事项</w:t>
            </w:r>
          </w:p>
        </w:tc>
        <w:tc>
          <w:tcPr>
            <w:tcW w:w="1689" w:type="dxa"/>
            <w:vAlign w:val="top"/>
          </w:tcPr>
          <w:p>
            <w:pPr>
              <w:pStyle w:val="7"/>
              <w:spacing w:before="20" w:line="232" w:lineRule="auto"/>
              <w:ind w:left="594" w:right="118" w:hanging="479"/>
              <w:jc w:val="left"/>
              <w:rPr>
                <w:sz w:val="24"/>
                <w:szCs w:val="24"/>
              </w:rPr>
            </w:pPr>
            <w:r>
              <w:rPr>
                <w:b/>
                <w:bCs/>
                <w:spacing w:val="-2"/>
                <w:sz w:val="24"/>
                <w:szCs w:val="24"/>
              </w:rPr>
              <w:t>常见违法行为</w:t>
            </w:r>
            <w:r>
              <w:rPr>
                <w:spacing w:val="1"/>
                <w:sz w:val="24"/>
                <w:szCs w:val="24"/>
              </w:rPr>
              <w:t xml:space="preserve"> </w:t>
            </w:r>
            <w:r>
              <w:rPr>
                <w:b/>
                <w:bCs/>
                <w:spacing w:val="-5"/>
                <w:sz w:val="24"/>
                <w:szCs w:val="24"/>
              </w:rPr>
              <w:t>表现</w:t>
            </w:r>
          </w:p>
        </w:tc>
        <w:tc>
          <w:tcPr>
            <w:tcW w:w="4357" w:type="dxa"/>
            <w:vAlign w:val="top"/>
          </w:tcPr>
          <w:p>
            <w:pPr>
              <w:pStyle w:val="7"/>
              <w:spacing w:before="199" w:line="219" w:lineRule="auto"/>
              <w:ind w:left="1126"/>
              <w:jc w:val="left"/>
              <w:rPr>
                <w:sz w:val="24"/>
                <w:szCs w:val="24"/>
              </w:rPr>
            </w:pPr>
            <w:r>
              <w:rPr>
                <w:b/>
                <w:bCs/>
                <w:spacing w:val="-4"/>
                <w:sz w:val="24"/>
                <w:szCs w:val="24"/>
              </w:rPr>
              <w:t>法律依据及违法责任</w:t>
            </w:r>
          </w:p>
        </w:tc>
        <w:tc>
          <w:tcPr>
            <w:tcW w:w="1229" w:type="dxa"/>
            <w:vAlign w:val="top"/>
          </w:tcPr>
          <w:p>
            <w:pPr>
              <w:pStyle w:val="7"/>
              <w:spacing w:before="201" w:line="219" w:lineRule="auto"/>
              <w:ind w:left="129"/>
              <w:jc w:val="left"/>
              <w:rPr>
                <w:sz w:val="24"/>
                <w:szCs w:val="24"/>
              </w:rPr>
            </w:pPr>
            <w:r>
              <w:rPr>
                <w:b/>
                <w:bCs/>
                <w:spacing w:val="-5"/>
                <w:sz w:val="24"/>
                <w:szCs w:val="24"/>
              </w:rPr>
              <w:t>发生频率</w:t>
            </w:r>
          </w:p>
        </w:tc>
        <w:tc>
          <w:tcPr>
            <w:tcW w:w="3517" w:type="dxa"/>
            <w:vAlign w:val="top"/>
          </w:tcPr>
          <w:p>
            <w:pPr>
              <w:pStyle w:val="7"/>
              <w:spacing w:before="183" w:line="220" w:lineRule="auto"/>
              <w:ind w:left="1490"/>
              <w:jc w:val="left"/>
              <w:rPr>
                <w:sz w:val="27"/>
                <w:szCs w:val="27"/>
              </w:rPr>
            </w:pPr>
            <w:r>
              <w:rPr>
                <w:b/>
                <w:bCs/>
                <w:spacing w:val="-7"/>
                <w:sz w:val="27"/>
                <w:szCs w:val="27"/>
              </w:rPr>
              <w:t>建议</w:t>
            </w:r>
          </w:p>
        </w:tc>
        <w:tc>
          <w:tcPr>
            <w:tcW w:w="1754" w:type="dxa"/>
            <w:vAlign w:val="top"/>
          </w:tcPr>
          <w:p>
            <w:pPr>
              <w:pStyle w:val="7"/>
              <w:spacing w:before="41" w:line="219" w:lineRule="auto"/>
              <w:ind w:left="393"/>
              <w:jc w:val="left"/>
              <w:rPr>
                <w:sz w:val="24"/>
                <w:szCs w:val="24"/>
              </w:rPr>
            </w:pPr>
            <w:r>
              <w:rPr>
                <w:b/>
                <w:bCs/>
                <w:spacing w:val="2"/>
                <w:sz w:val="24"/>
                <w:szCs w:val="24"/>
              </w:rPr>
              <w:t>指导部门</w:t>
            </w:r>
          </w:p>
          <w:p>
            <w:pPr>
              <w:pStyle w:val="7"/>
              <w:spacing w:before="24" w:line="210" w:lineRule="auto"/>
              <w:ind w:left="213"/>
              <w:jc w:val="left"/>
              <w:rPr>
                <w:sz w:val="24"/>
                <w:szCs w:val="24"/>
              </w:rPr>
            </w:pPr>
            <w:r>
              <w:rPr>
                <w:b/>
                <w:bCs/>
                <w:spacing w:val="4"/>
                <w:sz w:val="24"/>
                <w:szCs w:val="24"/>
              </w:rPr>
              <w:t>(机构/科室)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6" w:hRule="atLeast"/>
        </w:trPr>
        <w:tc>
          <w:tcPr>
            <w:tcW w:w="814" w:type="dxa"/>
            <w:vAlign w:val="top"/>
          </w:tcPr>
          <w:p>
            <w:pPr>
              <w:spacing w:line="279" w:lineRule="auto"/>
              <w:jc w:val="left"/>
              <w:rPr>
                <w:rFonts w:ascii="Arial"/>
                <w:sz w:val="21"/>
              </w:rPr>
            </w:pPr>
          </w:p>
          <w:p>
            <w:pPr>
              <w:spacing w:line="279" w:lineRule="auto"/>
              <w:jc w:val="left"/>
              <w:rPr>
                <w:rFonts w:ascii="Arial"/>
                <w:sz w:val="21"/>
              </w:rPr>
            </w:pPr>
          </w:p>
          <w:p>
            <w:pPr>
              <w:spacing w:line="279" w:lineRule="auto"/>
              <w:jc w:val="left"/>
              <w:rPr>
                <w:rFonts w:ascii="Arial"/>
                <w:sz w:val="21"/>
              </w:rPr>
            </w:pPr>
          </w:p>
          <w:p>
            <w:pPr>
              <w:spacing w:line="279" w:lineRule="auto"/>
              <w:jc w:val="left"/>
              <w:rPr>
                <w:rFonts w:ascii="Arial"/>
                <w:sz w:val="21"/>
              </w:rPr>
            </w:pPr>
          </w:p>
          <w:p>
            <w:pPr>
              <w:spacing w:line="279" w:lineRule="auto"/>
              <w:jc w:val="left"/>
              <w:rPr>
                <w:rFonts w:ascii="Arial"/>
                <w:sz w:val="21"/>
              </w:rPr>
            </w:pPr>
          </w:p>
          <w:p>
            <w:pPr>
              <w:spacing w:line="280" w:lineRule="auto"/>
              <w:jc w:val="left"/>
              <w:rPr>
                <w:rFonts w:ascii="Arial"/>
                <w:sz w:val="21"/>
              </w:rPr>
            </w:pPr>
          </w:p>
          <w:p>
            <w:pPr>
              <w:pStyle w:val="7"/>
              <w:spacing w:before="62"/>
              <w:ind w:left="344"/>
              <w:jc w:val="left"/>
            </w:pPr>
            <w:r>
              <w:t>3</w:t>
            </w:r>
          </w:p>
        </w:tc>
        <w:tc>
          <w:tcPr>
            <w:tcW w:w="1709" w:type="dxa"/>
            <w:vAlign w:val="top"/>
          </w:tcPr>
          <w:p>
            <w:pPr>
              <w:spacing w:line="273"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spacing w:line="274" w:lineRule="auto"/>
              <w:jc w:val="left"/>
              <w:rPr>
                <w:rFonts w:hint="eastAsia" w:asciiTheme="minorEastAsia" w:hAnsiTheme="minorEastAsia" w:eastAsiaTheme="minorEastAsia" w:cstheme="minorEastAsia"/>
                <w:sz w:val="18"/>
                <w:szCs w:val="18"/>
              </w:rPr>
            </w:pPr>
          </w:p>
          <w:p>
            <w:pPr>
              <w:spacing w:line="274" w:lineRule="auto"/>
              <w:jc w:val="left"/>
              <w:rPr>
                <w:rFonts w:hint="eastAsia" w:asciiTheme="minorEastAsia" w:hAnsiTheme="minorEastAsia" w:eastAsiaTheme="minorEastAsia" w:cstheme="minorEastAsia"/>
                <w:sz w:val="18"/>
                <w:szCs w:val="18"/>
              </w:rPr>
            </w:pPr>
          </w:p>
          <w:p>
            <w:pPr>
              <w:pStyle w:val="7"/>
              <w:spacing w:before="62" w:line="298" w:lineRule="auto"/>
              <w:ind w:left="80" w:right="6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固定资产投资项目</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2"/>
                <w:sz w:val="18"/>
                <w:szCs w:val="18"/>
              </w:rPr>
              <w:t>按规定落实节能审</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3"/>
                <w:sz w:val="18"/>
                <w:szCs w:val="18"/>
              </w:rPr>
              <w:t>查意见</w:t>
            </w:r>
          </w:p>
        </w:tc>
        <w:tc>
          <w:tcPr>
            <w:tcW w:w="1689" w:type="dxa"/>
            <w:vAlign w:val="top"/>
          </w:tcPr>
          <w:p>
            <w:pPr>
              <w:spacing w:line="297" w:lineRule="auto"/>
              <w:jc w:val="left"/>
              <w:rPr>
                <w:rFonts w:hint="eastAsia" w:asciiTheme="minorEastAsia" w:hAnsiTheme="minorEastAsia" w:eastAsiaTheme="minorEastAsia" w:cstheme="minorEastAsia"/>
                <w:sz w:val="18"/>
                <w:szCs w:val="18"/>
              </w:rPr>
            </w:pPr>
          </w:p>
          <w:p>
            <w:pPr>
              <w:spacing w:line="297" w:lineRule="auto"/>
              <w:jc w:val="left"/>
              <w:rPr>
                <w:rFonts w:hint="eastAsia" w:asciiTheme="minorEastAsia" w:hAnsiTheme="minorEastAsia" w:eastAsiaTheme="minorEastAsia" w:cstheme="minorEastAsia"/>
                <w:sz w:val="18"/>
                <w:szCs w:val="18"/>
              </w:rPr>
            </w:pPr>
          </w:p>
          <w:p>
            <w:pPr>
              <w:spacing w:line="297" w:lineRule="auto"/>
              <w:jc w:val="left"/>
              <w:rPr>
                <w:rFonts w:hint="eastAsia" w:asciiTheme="minorEastAsia" w:hAnsiTheme="minorEastAsia" w:eastAsiaTheme="minorEastAsia" w:cstheme="minorEastAsia"/>
                <w:sz w:val="18"/>
                <w:szCs w:val="18"/>
              </w:rPr>
            </w:pPr>
          </w:p>
          <w:p>
            <w:pPr>
              <w:spacing w:line="298" w:lineRule="auto"/>
              <w:jc w:val="left"/>
              <w:rPr>
                <w:rFonts w:hint="eastAsia" w:asciiTheme="minorEastAsia" w:hAnsiTheme="minorEastAsia" w:eastAsiaTheme="minorEastAsia" w:cstheme="minorEastAsia"/>
                <w:sz w:val="18"/>
                <w:szCs w:val="18"/>
              </w:rPr>
            </w:pPr>
          </w:p>
          <w:p>
            <w:pPr>
              <w:pStyle w:val="7"/>
              <w:spacing w:before="62" w:line="312" w:lineRule="auto"/>
              <w:ind w:left="71" w:right="5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固定资产投资项目</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2"/>
                <w:sz w:val="18"/>
                <w:szCs w:val="18"/>
              </w:rPr>
              <w:t>建设或生产过程中</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1"/>
                <w:sz w:val="18"/>
                <w:szCs w:val="18"/>
              </w:rPr>
              <w:t>未落实节能审查意</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9"/>
                <w:sz w:val="18"/>
                <w:szCs w:val="18"/>
              </w:rPr>
              <w:t>见要求</w:t>
            </w:r>
          </w:p>
        </w:tc>
        <w:tc>
          <w:tcPr>
            <w:tcW w:w="4357" w:type="dxa"/>
            <w:vAlign w:val="top"/>
          </w:tcPr>
          <w:p>
            <w:pPr>
              <w:spacing w:line="262" w:lineRule="auto"/>
              <w:jc w:val="left"/>
              <w:rPr>
                <w:rFonts w:hint="eastAsia" w:asciiTheme="minorEastAsia" w:hAnsiTheme="minorEastAsia" w:eastAsiaTheme="minorEastAsia" w:cstheme="minorEastAsia"/>
                <w:sz w:val="18"/>
                <w:szCs w:val="18"/>
              </w:rPr>
            </w:pPr>
          </w:p>
          <w:p>
            <w:pPr>
              <w:spacing w:line="262" w:lineRule="auto"/>
              <w:jc w:val="left"/>
              <w:rPr>
                <w:rFonts w:hint="eastAsia" w:asciiTheme="minorEastAsia" w:hAnsiTheme="minorEastAsia" w:eastAsiaTheme="minorEastAsia" w:cstheme="minorEastAsia"/>
                <w:sz w:val="18"/>
                <w:szCs w:val="18"/>
              </w:rPr>
            </w:pPr>
          </w:p>
          <w:p>
            <w:pPr>
              <w:spacing w:line="263" w:lineRule="auto"/>
              <w:jc w:val="left"/>
              <w:rPr>
                <w:rFonts w:hint="eastAsia" w:asciiTheme="minorEastAsia" w:hAnsiTheme="minorEastAsia" w:eastAsiaTheme="minorEastAsia" w:cstheme="minorEastAsia"/>
                <w:sz w:val="18"/>
                <w:szCs w:val="18"/>
              </w:rPr>
            </w:pPr>
          </w:p>
          <w:p>
            <w:pPr>
              <w:spacing w:line="263" w:lineRule="auto"/>
              <w:jc w:val="left"/>
              <w:rPr>
                <w:rFonts w:hint="eastAsia" w:asciiTheme="minorEastAsia" w:hAnsiTheme="minorEastAsia" w:eastAsiaTheme="minorEastAsia" w:cstheme="minorEastAsia"/>
                <w:sz w:val="18"/>
                <w:szCs w:val="18"/>
              </w:rPr>
            </w:pPr>
          </w:p>
          <w:p>
            <w:pPr>
              <w:pStyle w:val="7"/>
              <w:spacing w:before="62" w:line="233" w:lineRule="auto"/>
              <w:ind w:left="98" w:right="4"/>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《固定资产投资项目节能审查办法》(中华人民共和国</w:t>
            </w:r>
            <w:r>
              <w:rPr>
                <w:rFonts w:hint="eastAsia" w:asciiTheme="minorEastAsia" w:hAnsiTheme="minorEastAsia" w:eastAsiaTheme="minorEastAsia" w:cstheme="minorEastAsia"/>
                <w:spacing w:val="18"/>
                <w:sz w:val="18"/>
                <w:szCs w:val="18"/>
              </w:rPr>
              <w:t xml:space="preserve"> </w:t>
            </w:r>
            <w:r>
              <w:rPr>
                <w:rFonts w:hint="eastAsia" w:asciiTheme="minorEastAsia" w:hAnsiTheme="minorEastAsia" w:eastAsiaTheme="minorEastAsia" w:cstheme="minorEastAsia"/>
                <w:spacing w:val="-9"/>
                <w:sz w:val="18"/>
                <w:szCs w:val="18"/>
              </w:rPr>
              <w:t>《固定资产投资项目节能审查办法》(2023年国家发展</w:t>
            </w:r>
            <w:r>
              <w:rPr>
                <w:rFonts w:hint="eastAsia" w:asciiTheme="minorEastAsia" w:hAnsiTheme="minorEastAsia" w:eastAsiaTheme="minorEastAsia" w:cstheme="minorEastAsia"/>
                <w:spacing w:val="12"/>
                <w:sz w:val="18"/>
                <w:szCs w:val="18"/>
              </w:rPr>
              <w:t xml:space="preserve"> </w:t>
            </w:r>
            <w:r>
              <w:rPr>
                <w:rFonts w:hint="eastAsia" w:asciiTheme="minorEastAsia" w:hAnsiTheme="minorEastAsia" w:eastAsiaTheme="minorEastAsia" w:cstheme="minorEastAsia"/>
                <w:spacing w:val="-1"/>
                <w:sz w:val="18"/>
                <w:szCs w:val="18"/>
              </w:rPr>
              <w:t>改革委令第2号)第二十五条：</w:t>
            </w:r>
            <w:r>
              <w:rPr>
                <w:rFonts w:hint="eastAsia" w:asciiTheme="minorEastAsia" w:hAnsiTheme="minorEastAsia" w:eastAsiaTheme="minorEastAsia" w:cstheme="minorEastAsia"/>
                <w:spacing w:val="-5"/>
                <w:sz w:val="18"/>
                <w:szCs w:val="18"/>
              </w:rPr>
              <w:t>节能审查机关责令建设单位限期整改。不能改正</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5"/>
                <w:sz w:val="18"/>
                <w:szCs w:val="18"/>
              </w:rPr>
              <w:t>或逾期不改正的，节能审查机关按照法律法规的有关</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1"/>
                <w:sz w:val="18"/>
                <w:szCs w:val="18"/>
              </w:rPr>
              <w:t>规定进行处罚。</w:t>
            </w:r>
          </w:p>
        </w:tc>
        <w:tc>
          <w:tcPr>
            <w:tcW w:w="1229" w:type="dxa"/>
            <w:vAlign w:val="top"/>
          </w:tcPr>
          <w:p>
            <w:pPr>
              <w:spacing w:line="243" w:lineRule="auto"/>
              <w:jc w:val="left"/>
              <w:rPr>
                <w:rFonts w:hint="eastAsia" w:asciiTheme="minorEastAsia" w:hAnsiTheme="minorEastAsia" w:eastAsiaTheme="minorEastAsia" w:cstheme="minorEastAsia"/>
                <w:sz w:val="16"/>
                <w:szCs w:val="16"/>
              </w:rPr>
            </w:pPr>
          </w:p>
          <w:p>
            <w:pPr>
              <w:spacing w:line="243" w:lineRule="auto"/>
              <w:jc w:val="left"/>
              <w:rPr>
                <w:rFonts w:hint="eastAsia" w:asciiTheme="minorEastAsia" w:hAnsiTheme="minorEastAsia" w:eastAsiaTheme="minorEastAsia" w:cstheme="minorEastAsia"/>
                <w:sz w:val="16"/>
                <w:szCs w:val="16"/>
              </w:rPr>
            </w:pPr>
          </w:p>
          <w:p>
            <w:pPr>
              <w:spacing w:line="243" w:lineRule="auto"/>
              <w:jc w:val="left"/>
              <w:rPr>
                <w:rFonts w:hint="eastAsia" w:asciiTheme="minorEastAsia" w:hAnsiTheme="minorEastAsia" w:eastAsiaTheme="minorEastAsia" w:cstheme="minorEastAsia"/>
                <w:sz w:val="16"/>
                <w:szCs w:val="16"/>
              </w:rPr>
            </w:pPr>
          </w:p>
          <w:p>
            <w:pPr>
              <w:spacing w:line="244" w:lineRule="auto"/>
              <w:jc w:val="left"/>
              <w:rPr>
                <w:rFonts w:hint="eastAsia" w:asciiTheme="minorEastAsia" w:hAnsiTheme="minorEastAsia" w:eastAsiaTheme="minorEastAsia" w:cstheme="minorEastAsia"/>
                <w:sz w:val="16"/>
                <w:szCs w:val="16"/>
              </w:rPr>
            </w:pPr>
          </w:p>
          <w:p>
            <w:pPr>
              <w:spacing w:line="244" w:lineRule="auto"/>
              <w:jc w:val="left"/>
              <w:rPr>
                <w:rFonts w:hint="eastAsia" w:asciiTheme="minorEastAsia" w:hAnsiTheme="minorEastAsia" w:eastAsiaTheme="minorEastAsia" w:cstheme="minorEastAsia"/>
                <w:sz w:val="16"/>
                <w:szCs w:val="16"/>
              </w:rPr>
            </w:pPr>
          </w:p>
          <w:p>
            <w:pPr>
              <w:spacing w:line="244" w:lineRule="auto"/>
              <w:jc w:val="left"/>
              <w:rPr>
                <w:rFonts w:hint="eastAsia" w:asciiTheme="minorEastAsia" w:hAnsiTheme="minorEastAsia" w:eastAsiaTheme="minorEastAsia" w:cstheme="minorEastAsia"/>
                <w:sz w:val="16"/>
                <w:szCs w:val="16"/>
              </w:rPr>
            </w:pPr>
          </w:p>
          <w:p>
            <w:pPr>
              <w:spacing w:line="244" w:lineRule="auto"/>
              <w:jc w:val="left"/>
              <w:rPr>
                <w:rFonts w:hint="eastAsia" w:asciiTheme="minorEastAsia" w:hAnsiTheme="minorEastAsia" w:eastAsiaTheme="minorEastAsia" w:cstheme="minorEastAsia"/>
                <w:sz w:val="16"/>
                <w:szCs w:val="16"/>
              </w:rPr>
            </w:pPr>
          </w:p>
          <w:p>
            <w:pPr>
              <w:pStyle w:val="7"/>
              <w:spacing w:before="46" w:line="227" w:lineRule="auto"/>
              <w:ind w:left="535"/>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p>
        </w:tc>
        <w:tc>
          <w:tcPr>
            <w:tcW w:w="3517" w:type="dxa"/>
            <w:vAlign w:val="top"/>
          </w:tcPr>
          <w:p>
            <w:pPr>
              <w:spacing w:line="297" w:lineRule="auto"/>
              <w:jc w:val="left"/>
              <w:rPr>
                <w:rFonts w:hint="eastAsia" w:asciiTheme="minorEastAsia" w:hAnsiTheme="minorEastAsia" w:eastAsiaTheme="minorEastAsia" w:cstheme="minorEastAsia"/>
                <w:sz w:val="18"/>
                <w:szCs w:val="18"/>
              </w:rPr>
            </w:pPr>
          </w:p>
          <w:p>
            <w:pPr>
              <w:spacing w:line="297" w:lineRule="auto"/>
              <w:jc w:val="left"/>
              <w:rPr>
                <w:rFonts w:hint="eastAsia" w:asciiTheme="minorEastAsia" w:hAnsiTheme="minorEastAsia" w:eastAsiaTheme="minorEastAsia" w:cstheme="minorEastAsia"/>
                <w:sz w:val="18"/>
                <w:szCs w:val="18"/>
              </w:rPr>
            </w:pPr>
          </w:p>
          <w:p>
            <w:pPr>
              <w:spacing w:line="297" w:lineRule="auto"/>
              <w:jc w:val="left"/>
              <w:rPr>
                <w:rFonts w:hint="eastAsia" w:asciiTheme="minorEastAsia" w:hAnsiTheme="minorEastAsia" w:eastAsiaTheme="minorEastAsia" w:cstheme="minorEastAsia"/>
                <w:sz w:val="18"/>
                <w:szCs w:val="18"/>
              </w:rPr>
            </w:pPr>
          </w:p>
          <w:p>
            <w:pPr>
              <w:spacing w:line="298" w:lineRule="auto"/>
              <w:jc w:val="left"/>
              <w:rPr>
                <w:rFonts w:hint="eastAsia" w:asciiTheme="minorEastAsia" w:hAnsiTheme="minorEastAsia" w:eastAsiaTheme="minorEastAsia" w:cstheme="minorEastAsia"/>
                <w:sz w:val="18"/>
                <w:szCs w:val="18"/>
              </w:rPr>
            </w:pPr>
          </w:p>
          <w:p>
            <w:pPr>
              <w:pStyle w:val="7"/>
              <w:spacing w:before="62" w:line="265" w:lineRule="auto"/>
              <w:ind w:left="107" w:right="127" w:firstLine="2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1.项目建设过程中严格落实节能审查意</w:t>
            </w:r>
            <w:r>
              <w:rPr>
                <w:rFonts w:hint="eastAsia" w:asciiTheme="minorEastAsia" w:hAnsiTheme="minorEastAsia" w:eastAsiaTheme="minorEastAsia" w:cstheme="minorEastAsia"/>
                <w:spacing w:val="11"/>
                <w:sz w:val="18"/>
                <w:szCs w:val="18"/>
              </w:rPr>
              <w:t xml:space="preserve"> </w:t>
            </w:r>
            <w:r>
              <w:rPr>
                <w:rFonts w:hint="eastAsia" w:asciiTheme="minorEastAsia" w:hAnsiTheme="minorEastAsia" w:eastAsiaTheme="minorEastAsia" w:cstheme="minorEastAsia"/>
                <w:spacing w:val="-1"/>
                <w:sz w:val="18"/>
                <w:szCs w:val="18"/>
              </w:rPr>
              <w:t>见提出的各项要求。</w:t>
            </w:r>
          </w:p>
          <w:p>
            <w:pPr>
              <w:pStyle w:val="7"/>
              <w:spacing w:before="94" w:line="260" w:lineRule="auto"/>
              <w:ind w:left="96" w:right="49" w:hanging="4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2.项目投入生产、使用前，应对节能审查</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1"/>
                <w:sz w:val="18"/>
                <w:szCs w:val="18"/>
              </w:rPr>
              <w:t>意见落实情况进行验收。</w:t>
            </w:r>
          </w:p>
        </w:tc>
        <w:tc>
          <w:tcPr>
            <w:tcW w:w="1754" w:type="dxa"/>
            <w:vAlign w:val="top"/>
          </w:tcPr>
          <w:p>
            <w:pPr>
              <w:spacing w:line="273"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spacing w:line="273" w:lineRule="auto"/>
              <w:jc w:val="left"/>
              <w:rPr>
                <w:rFonts w:hint="eastAsia" w:asciiTheme="minorEastAsia" w:hAnsiTheme="minorEastAsia" w:eastAsiaTheme="minorEastAsia" w:cstheme="minorEastAsia"/>
                <w:sz w:val="18"/>
                <w:szCs w:val="18"/>
              </w:rPr>
            </w:pPr>
          </w:p>
          <w:p>
            <w:pPr>
              <w:spacing w:line="274" w:lineRule="auto"/>
              <w:jc w:val="left"/>
              <w:rPr>
                <w:rFonts w:hint="eastAsia" w:asciiTheme="minorEastAsia" w:hAnsiTheme="minorEastAsia" w:eastAsiaTheme="minorEastAsia" w:cstheme="minorEastAsia"/>
                <w:sz w:val="18"/>
                <w:szCs w:val="18"/>
              </w:rPr>
            </w:pPr>
          </w:p>
          <w:p>
            <w:pPr>
              <w:spacing w:line="274" w:lineRule="auto"/>
              <w:jc w:val="left"/>
              <w:rPr>
                <w:rFonts w:hint="eastAsia" w:asciiTheme="minorEastAsia" w:hAnsiTheme="minorEastAsia" w:eastAsiaTheme="minorEastAsia" w:cstheme="minorEastAsia"/>
                <w:sz w:val="18"/>
                <w:szCs w:val="18"/>
              </w:rPr>
            </w:pPr>
          </w:p>
          <w:p>
            <w:pPr>
              <w:pStyle w:val="7"/>
              <w:spacing w:before="62" w:line="293" w:lineRule="auto"/>
              <w:ind w:right="46"/>
              <w:jc w:val="center"/>
              <w:rPr>
                <w:rFonts w:hint="eastAsia"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局能源股</w:t>
            </w:r>
          </w:p>
          <w:p>
            <w:pPr>
              <w:pStyle w:val="7"/>
              <w:spacing w:before="62" w:line="293" w:lineRule="auto"/>
              <w:ind w:right="4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联系</w:t>
            </w:r>
            <w:r>
              <w:rPr>
                <w:rFonts w:hint="eastAsia" w:asciiTheme="minorEastAsia" w:hAnsiTheme="minorEastAsia" w:eastAsiaTheme="minorEastAsia" w:cstheme="minorEastAsia"/>
                <w:spacing w:val="3"/>
                <w:sz w:val="18"/>
                <w:szCs w:val="18"/>
              </w:rPr>
              <w:t>电话：</w:t>
            </w:r>
            <w:r>
              <w:rPr>
                <w:rFonts w:hint="eastAsia" w:asciiTheme="minorEastAsia" w:hAnsiTheme="minorEastAsia" w:eastAsiaTheme="minorEastAsia" w:cstheme="minorEastAsia"/>
                <w:spacing w:val="3"/>
                <w:sz w:val="18"/>
                <w:szCs w:val="18"/>
                <w:lang w:val="en-US" w:eastAsia="zh-CN"/>
              </w:rPr>
              <w:t>0714-8718311</w:t>
            </w:r>
            <w:r>
              <w:rPr>
                <w:rFonts w:hint="eastAsia" w:asciiTheme="minorEastAsia" w:hAnsiTheme="minorEastAsia" w:eastAsiaTheme="minorEastAsia" w:cstheme="minorEastAsia"/>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0" w:hRule="atLeast"/>
        </w:trPr>
        <w:tc>
          <w:tcPr>
            <w:tcW w:w="814" w:type="dxa"/>
            <w:vAlign w:val="top"/>
          </w:tcPr>
          <w:p>
            <w:pPr>
              <w:spacing w:line="256"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pStyle w:val="7"/>
              <w:spacing w:before="62" w:line="241" w:lineRule="auto"/>
              <w:ind w:left="344"/>
              <w:jc w:val="left"/>
            </w:pPr>
            <w:r>
              <w:t>4</w:t>
            </w:r>
          </w:p>
        </w:tc>
        <w:tc>
          <w:tcPr>
            <w:tcW w:w="1709" w:type="dxa"/>
            <w:vAlign w:val="top"/>
          </w:tcPr>
          <w:p>
            <w:pPr>
              <w:spacing w:line="271" w:lineRule="auto"/>
              <w:jc w:val="left"/>
              <w:rPr>
                <w:rFonts w:hint="eastAsia" w:asciiTheme="minorEastAsia" w:hAnsiTheme="minorEastAsia" w:eastAsiaTheme="minorEastAsia" w:cstheme="minorEastAsia"/>
                <w:sz w:val="18"/>
                <w:szCs w:val="18"/>
              </w:rPr>
            </w:pPr>
          </w:p>
          <w:p>
            <w:pPr>
              <w:spacing w:line="271" w:lineRule="auto"/>
              <w:jc w:val="left"/>
              <w:rPr>
                <w:rFonts w:hint="eastAsia" w:asciiTheme="minorEastAsia" w:hAnsiTheme="minorEastAsia" w:eastAsiaTheme="minorEastAsia" w:cstheme="minorEastAsia"/>
                <w:sz w:val="18"/>
                <w:szCs w:val="18"/>
              </w:rPr>
            </w:pPr>
          </w:p>
          <w:p>
            <w:pPr>
              <w:spacing w:line="271" w:lineRule="auto"/>
              <w:jc w:val="left"/>
              <w:rPr>
                <w:rFonts w:hint="eastAsia" w:asciiTheme="minorEastAsia" w:hAnsiTheme="minorEastAsia" w:eastAsiaTheme="minorEastAsia" w:cstheme="minorEastAsia"/>
                <w:sz w:val="18"/>
                <w:szCs w:val="18"/>
              </w:rPr>
            </w:pPr>
          </w:p>
          <w:p>
            <w:pPr>
              <w:spacing w:line="272" w:lineRule="auto"/>
              <w:jc w:val="left"/>
              <w:rPr>
                <w:rFonts w:hint="eastAsia" w:asciiTheme="minorEastAsia" w:hAnsiTheme="minorEastAsia" w:eastAsiaTheme="minorEastAsia" w:cstheme="minorEastAsia"/>
                <w:sz w:val="18"/>
                <w:szCs w:val="18"/>
              </w:rPr>
            </w:pPr>
          </w:p>
          <w:p>
            <w:pPr>
              <w:spacing w:line="272" w:lineRule="auto"/>
              <w:jc w:val="left"/>
              <w:rPr>
                <w:rFonts w:hint="eastAsia" w:asciiTheme="minorEastAsia" w:hAnsiTheme="minorEastAsia" w:eastAsiaTheme="minorEastAsia" w:cstheme="minorEastAsia"/>
                <w:sz w:val="18"/>
                <w:szCs w:val="18"/>
              </w:rPr>
            </w:pPr>
          </w:p>
          <w:p>
            <w:pPr>
              <w:spacing w:line="272" w:lineRule="auto"/>
              <w:jc w:val="left"/>
              <w:rPr>
                <w:rFonts w:hint="eastAsia" w:asciiTheme="minorEastAsia" w:hAnsiTheme="minorEastAsia" w:eastAsiaTheme="minorEastAsia" w:cstheme="minorEastAsia"/>
                <w:sz w:val="18"/>
                <w:szCs w:val="18"/>
              </w:rPr>
            </w:pPr>
          </w:p>
          <w:p>
            <w:pPr>
              <w:pStyle w:val="7"/>
              <w:spacing w:before="62" w:line="294" w:lineRule="auto"/>
              <w:ind w:left="80" w:right="6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固定资产投资项目</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1"/>
                <w:sz w:val="18"/>
                <w:szCs w:val="18"/>
              </w:rPr>
              <w:t>应进行节能验收</w:t>
            </w:r>
          </w:p>
        </w:tc>
        <w:tc>
          <w:tcPr>
            <w:tcW w:w="1689" w:type="dxa"/>
            <w:vAlign w:val="top"/>
          </w:tcPr>
          <w:p>
            <w:pPr>
              <w:spacing w:line="291" w:lineRule="auto"/>
              <w:jc w:val="left"/>
              <w:rPr>
                <w:rFonts w:hint="eastAsia" w:asciiTheme="minorEastAsia" w:hAnsiTheme="minorEastAsia" w:eastAsiaTheme="minorEastAsia" w:cstheme="minorEastAsia"/>
                <w:sz w:val="18"/>
                <w:szCs w:val="18"/>
              </w:rPr>
            </w:pPr>
          </w:p>
          <w:p>
            <w:pPr>
              <w:spacing w:line="291" w:lineRule="auto"/>
              <w:jc w:val="left"/>
              <w:rPr>
                <w:rFonts w:hint="eastAsia" w:asciiTheme="minorEastAsia" w:hAnsiTheme="minorEastAsia" w:eastAsiaTheme="minorEastAsia" w:cstheme="minorEastAsia"/>
                <w:sz w:val="18"/>
                <w:szCs w:val="18"/>
              </w:rPr>
            </w:pPr>
          </w:p>
          <w:p>
            <w:pPr>
              <w:spacing w:line="291" w:lineRule="auto"/>
              <w:jc w:val="left"/>
              <w:rPr>
                <w:rFonts w:hint="eastAsia" w:asciiTheme="minorEastAsia" w:hAnsiTheme="minorEastAsia" w:eastAsiaTheme="minorEastAsia" w:cstheme="minorEastAsia"/>
                <w:sz w:val="18"/>
                <w:szCs w:val="18"/>
              </w:rPr>
            </w:pPr>
          </w:p>
          <w:p>
            <w:pPr>
              <w:spacing w:line="291" w:lineRule="auto"/>
              <w:jc w:val="left"/>
              <w:rPr>
                <w:rFonts w:hint="eastAsia" w:asciiTheme="minorEastAsia" w:hAnsiTheme="minorEastAsia" w:eastAsiaTheme="minorEastAsia" w:cstheme="minorEastAsia"/>
                <w:sz w:val="18"/>
                <w:szCs w:val="18"/>
              </w:rPr>
            </w:pPr>
          </w:p>
          <w:p>
            <w:pPr>
              <w:pStyle w:val="7"/>
              <w:spacing w:before="62" w:line="312" w:lineRule="auto"/>
              <w:ind w:left="71" w:right="5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固定资产投资项目未按规定进行节能验收或验收不合格，擅自投入生产、使用</w:t>
            </w:r>
          </w:p>
        </w:tc>
        <w:tc>
          <w:tcPr>
            <w:tcW w:w="4357" w:type="dxa"/>
            <w:vAlign w:val="top"/>
          </w:tcPr>
          <w:p>
            <w:pPr>
              <w:spacing w:line="278" w:lineRule="auto"/>
              <w:jc w:val="left"/>
              <w:rPr>
                <w:rFonts w:hint="eastAsia" w:asciiTheme="minorEastAsia" w:hAnsiTheme="minorEastAsia" w:eastAsiaTheme="minorEastAsia" w:cstheme="minorEastAsia"/>
                <w:sz w:val="18"/>
                <w:szCs w:val="18"/>
              </w:rPr>
            </w:pPr>
          </w:p>
          <w:p>
            <w:pPr>
              <w:spacing w:line="279" w:lineRule="auto"/>
              <w:jc w:val="left"/>
              <w:rPr>
                <w:rFonts w:hint="eastAsia" w:asciiTheme="minorEastAsia" w:hAnsiTheme="minorEastAsia" w:eastAsiaTheme="minorEastAsia" w:cstheme="minorEastAsia"/>
                <w:sz w:val="18"/>
                <w:szCs w:val="18"/>
              </w:rPr>
            </w:pPr>
          </w:p>
          <w:p>
            <w:pPr>
              <w:spacing w:line="279" w:lineRule="auto"/>
              <w:jc w:val="left"/>
              <w:rPr>
                <w:rFonts w:hint="eastAsia" w:asciiTheme="minorEastAsia" w:hAnsiTheme="minorEastAsia" w:eastAsiaTheme="minorEastAsia" w:cstheme="minorEastAsia"/>
                <w:sz w:val="18"/>
                <w:szCs w:val="18"/>
              </w:rPr>
            </w:pPr>
          </w:p>
          <w:p>
            <w:pPr>
              <w:spacing w:line="279" w:lineRule="auto"/>
              <w:jc w:val="left"/>
              <w:rPr>
                <w:rFonts w:hint="eastAsia" w:asciiTheme="minorEastAsia" w:hAnsiTheme="minorEastAsia" w:eastAsiaTheme="minorEastAsia" w:cstheme="minorEastAsia"/>
                <w:sz w:val="18"/>
                <w:szCs w:val="18"/>
              </w:rPr>
            </w:pPr>
          </w:p>
          <w:p>
            <w:pPr>
              <w:pStyle w:val="7"/>
              <w:spacing w:before="62"/>
              <w:ind w:left="92" w:hanging="14"/>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8"/>
                <w:sz w:val="18"/>
                <w:szCs w:val="18"/>
              </w:rPr>
              <w:t>《固定资产投资项目节能审查办法》(2023年</w:t>
            </w:r>
            <w:r>
              <w:rPr>
                <w:rFonts w:hint="eastAsia" w:asciiTheme="minorEastAsia" w:hAnsiTheme="minorEastAsia" w:eastAsiaTheme="minorEastAsia" w:cstheme="minorEastAsia"/>
                <w:spacing w:val="-9"/>
                <w:sz w:val="18"/>
                <w:szCs w:val="18"/>
              </w:rPr>
              <w:t>国家发展</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5"/>
                <w:sz w:val="18"/>
                <w:szCs w:val="18"/>
              </w:rPr>
              <w:t>改革委令第2号)第二十六条、《湖北省固定资产投资</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1"/>
                <w:sz w:val="18"/>
                <w:szCs w:val="18"/>
              </w:rPr>
              <w:t>项目节能审查实施办法》(鄂发改规〔2023)1号〕第</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z w:val="18"/>
                <w:szCs w:val="18"/>
              </w:rPr>
              <w:t>十四条：</w:t>
            </w:r>
            <w:r>
              <w:rPr>
                <w:rFonts w:hint="eastAsia" w:asciiTheme="minorEastAsia" w:hAnsiTheme="minorEastAsia" w:eastAsiaTheme="minorEastAsia" w:cstheme="minorEastAsia"/>
                <w:spacing w:val="-9"/>
                <w:sz w:val="18"/>
                <w:szCs w:val="18"/>
              </w:rPr>
              <w:t>节能审查机关责令建设单位限期整改，并处3万元以上</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1"/>
                <w:sz w:val="18"/>
                <w:szCs w:val="18"/>
              </w:rPr>
              <w:t>5万元以下罚款。</w:t>
            </w:r>
          </w:p>
        </w:tc>
        <w:tc>
          <w:tcPr>
            <w:tcW w:w="1229" w:type="dxa"/>
            <w:vAlign w:val="top"/>
          </w:tcPr>
          <w:p>
            <w:pPr>
              <w:spacing w:line="261" w:lineRule="auto"/>
              <w:jc w:val="left"/>
              <w:rPr>
                <w:rFonts w:hint="eastAsia" w:asciiTheme="minorEastAsia" w:hAnsiTheme="minorEastAsia" w:eastAsiaTheme="minorEastAsia" w:cstheme="minorEastAsia"/>
                <w:sz w:val="16"/>
                <w:szCs w:val="16"/>
              </w:rPr>
            </w:pPr>
          </w:p>
          <w:p>
            <w:pPr>
              <w:spacing w:line="261" w:lineRule="auto"/>
              <w:jc w:val="left"/>
              <w:rPr>
                <w:rFonts w:hint="eastAsia" w:asciiTheme="minorEastAsia" w:hAnsiTheme="minorEastAsia" w:eastAsiaTheme="minorEastAsia" w:cstheme="minorEastAsia"/>
                <w:sz w:val="16"/>
                <w:szCs w:val="16"/>
              </w:rPr>
            </w:pPr>
          </w:p>
          <w:p>
            <w:pPr>
              <w:spacing w:line="261" w:lineRule="auto"/>
              <w:jc w:val="left"/>
              <w:rPr>
                <w:rFonts w:hint="eastAsia" w:asciiTheme="minorEastAsia" w:hAnsiTheme="minorEastAsia" w:eastAsiaTheme="minorEastAsia" w:cstheme="minorEastAsia"/>
                <w:sz w:val="16"/>
                <w:szCs w:val="16"/>
              </w:rPr>
            </w:pPr>
          </w:p>
          <w:p>
            <w:pPr>
              <w:spacing w:line="261" w:lineRule="auto"/>
              <w:jc w:val="left"/>
              <w:rPr>
                <w:rFonts w:hint="eastAsia" w:asciiTheme="minorEastAsia" w:hAnsiTheme="minorEastAsia" w:eastAsiaTheme="minorEastAsia" w:cstheme="minorEastAsia"/>
                <w:sz w:val="16"/>
                <w:szCs w:val="16"/>
              </w:rPr>
            </w:pPr>
          </w:p>
          <w:p>
            <w:pPr>
              <w:spacing w:line="261" w:lineRule="auto"/>
              <w:jc w:val="left"/>
              <w:rPr>
                <w:rFonts w:hint="eastAsia" w:asciiTheme="minorEastAsia" w:hAnsiTheme="minorEastAsia" w:eastAsiaTheme="minorEastAsia" w:cstheme="minorEastAsia"/>
                <w:sz w:val="16"/>
                <w:szCs w:val="16"/>
              </w:rPr>
            </w:pPr>
          </w:p>
          <w:p>
            <w:pPr>
              <w:spacing w:line="261" w:lineRule="auto"/>
              <w:jc w:val="left"/>
              <w:rPr>
                <w:rFonts w:hint="eastAsia" w:asciiTheme="minorEastAsia" w:hAnsiTheme="minorEastAsia" w:eastAsiaTheme="minorEastAsia" w:cstheme="minorEastAsia"/>
                <w:sz w:val="16"/>
                <w:szCs w:val="16"/>
              </w:rPr>
            </w:pPr>
          </w:p>
          <w:p>
            <w:pPr>
              <w:spacing w:line="262" w:lineRule="auto"/>
              <w:jc w:val="left"/>
              <w:rPr>
                <w:rFonts w:hint="eastAsia" w:asciiTheme="minorEastAsia" w:hAnsiTheme="minorEastAsia" w:eastAsiaTheme="minorEastAsia" w:cstheme="minorEastAsia"/>
                <w:sz w:val="16"/>
                <w:szCs w:val="16"/>
              </w:rPr>
            </w:pPr>
          </w:p>
          <w:p>
            <w:pPr>
              <w:pStyle w:val="7"/>
              <w:spacing w:before="46" w:line="227" w:lineRule="auto"/>
              <w:ind w:left="535"/>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w:t>
            </w:r>
          </w:p>
        </w:tc>
        <w:tc>
          <w:tcPr>
            <w:tcW w:w="3517" w:type="dxa"/>
            <w:vAlign w:val="top"/>
          </w:tcPr>
          <w:p>
            <w:pPr>
              <w:spacing w:line="264" w:lineRule="auto"/>
              <w:jc w:val="left"/>
              <w:rPr>
                <w:rFonts w:hint="eastAsia" w:asciiTheme="minorEastAsia" w:hAnsiTheme="minorEastAsia" w:eastAsiaTheme="minorEastAsia" w:cstheme="minorEastAsia"/>
                <w:sz w:val="18"/>
                <w:szCs w:val="18"/>
              </w:rPr>
            </w:pPr>
          </w:p>
          <w:p>
            <w:pPr>
              <w:spacing w:line="264" w:lineRule="auto"/>
              <w:jc w:val="left"/>
              <w:rPr>
                <w:rFonts w:hint="eastAsia" w:asciiTheme="minorEastAsia" w:hAnsiTheme="minorEastAsia" w:eastAsiaTheme="minorEastAsia" w:cstheme="minorEastAsia"/>
                <w:sz w:val="18"/>
                <w:szCs w:val="18"/>
              </w:rPr>
            </w:pPr>
          </w:p>
          <w:p>
            <w:pPr>
              <w:spacing w:line="265" w:lineRule="auto"/>
              <w:jc w:val="left"/>
              <w:rPr>
                <w:rFonts w:hint="eastAsia" w:asciiTheme="minorEastAsia" w:hAnsiTheme="minorEastAsia" w:eastAsiaTheme="minorEastAsia" w:cstheme="minorEastAsia"/>
                <w:sz w:val="18"/>
                <w:szCs w:val="18"/>
              </w:rPr>
            </w:pPr>
          </w:p>
          <w:p>
            <w:pPr>
              <w:spacing w:line="265" w:lineRule="auto"/>
              <w:jc w:val="left"/>
              <w:rPr>
                <w:rFonts w:hint="eastAsia" w:asciiTheme="minorEastAsia" w:hAnsiTheme="minorEastAsia" w:eastAsiaTheme="minorEastAsia" w:cstheme="minorEastAsia"/>
                <w:sz w:val="18"/>
                <w:szCs w:val="18"/>
              </w:rPr>
            </w:pPr>
          </w:p>
          <w:p>
            <w:pPr>
              <w:spacing w:line="265" w:lineRule="auto"/>
              <w:jc w:val="left"/>
              <w:rPr>
                <w:rFonts w:hint="eastAsia" w:asciiTheme="minorEastAsia" w:hAnsiTheme="minorEastAsia" w:eastAsiaTheme="minorEastAsia" w:cstheme="minorEastAsia"/>
                <w:sz w:val="18"/>
                <w:szCs w:val="18"/>
              </w:rPr>
            </w:pPr>
          </w:p>
          <w:p>
            <w:pPr>
              <w:pStyle w:val="7"/>
              <w:spacing w:before="62" w:line="305" w:lineRule="auto"/>
              <w:ind w:left="47" w:firstLine="39"/>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通过节能审查的固定资产投资项目(含省</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3"/>
                <w:sz w:val="18"/>
                <w:szCs w:val="18"/>
              </w:rPr>
              <w:t>级批复节能审查项目)投入生产、使用前，</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3"/>
                <w:sz w:val="18"/>
                <w:szCs w:val="18"/>
              </w:rPr>
              <w:t>项目建设单位应向项目所在地县级节能审</w:t>
            </w:r>
            <w:r>
              <w:rPr>
                <w:rFonts w:hint="eastAsia" w:asciiTheme="minorEastAsia" w:hAnsiTheme="minorEastAsia" w:eastAsiaTheme="minorEastAsia" w:cstheme="minorEastAsia"/>
                <w:spacing w:val="7"/>
                <w:sz w:val="18"/>
                <w:szCs w:val="18"/>
              </w:rPr>
              <w:t xml:space="preserve">  </w:t>
            </w:r>
            <w:r>
              <w:rPr>
                <w:rFonts w:hint="eastAsia" w:asciiTheme="minorEastAsia" w:hAnsiTheme="minorEastAsia" w:eastAsiaTheme="minorEastAsia" w:cstheme="minorEastAsia"/>
                <w:spacing w:val="1"/>
                <w:sz w:val="18"/>
                <w:szCs w:val="18"/>
              </w:rPr>
              <w:t>查机关提交节能验收申请。</w:t>
            </w:r>
          </w:p>
        </w:tc>
        <w:tc>
          <w:tcPr>
            <w:tcW w:w="1754" w:type="dxa"/>
            <w:vAlign w:val="top"/>
          </w:tcPr>
          <w:p>
            <w:pPr>
              <w:spacing w:line="247" w:lineRule="auto"/>
              <w:jc w:val="left"/>
              <w:rPr>
                <w:rFonts w:hint="eastAsia" w:asciiTheme="minorEastAsia" w:hAnsiTheme="minorEastAsia" w:eastAsiaTheme="minorEastAsia" w:cstheme="minorEastAsia"/>
                <w:sz w:val="18"/>
                <w:szCs w:val="18"/>
              </w:rPr>
            </w:pPr>
          </w:p>
          <w:p>
            <w:pPr>
              <w:spacing w:line="247" w:lineRule="auto"/>
              <w:jc w:val="left"/>
              <w:rPr>
                <w:rFonts w:hint="eastAsia" w:asciiTheme="minorEastAsia" w:hAnsiTheme="minorEastAsia" w:eastAsiaTheme="minorEastAsia" w:cstheme="minorEastAsia"/>
                <w:sz w:val="18"/>
                <w:szCs w:val="18"/>
              </w:rPr>
            </w:pPr>
          </w:p>
          <w:p>
            <w:pPr>
              <w:spacing w:line="247" w:lineRule="auto"/>
              <w:jc w:val="left"/>
              <w:rPr>
                <w:rFonts w:hint="eastAsia" w:asciiTheme="minorEastAsia" w:hAnsiTheme="minorEastAsia" w:eastAsiaTheme="minorEastAsia" w:cstheme="minorEastAsia"/>
                <w:sz w:val="18"/>
                <w:szCs w:val="18"/>
              </w:rPr>
            </w:pPr>
          </w:p>
          <w:p>
            <w:pPr>
              <w:spacing w:line="247" w:lineRule="auto"/>
              <w:jc w:val="left"/>
              <w:rPr>
                <w:rFonts w:hint="eastAsia" w:asciiTheme="minorEastAsia" w:hAnsiTheme="minorEastAsia" w:eastAsiaTheme="minorEastAsia" w:cstheme="minorEastAsia"/>
                <w:sz w:val="18"/>
                <w:szCs w:val="18"/>
              </w:rPr>
            </w:pPr>
          </w:p>
          <w:p>
            <w:pPr>
              <w:spacing w:line="247" w:lineRule="auto"/>
              <w:jc w:val="left"/>
              <w:rPr>
                <w:rFonts w:hint="eastAsia" w:asciiTheme="minorEastAsia" w:hAnsiTheme="minorEastAsia" w:eastAsiaTheme="minorEastAsia" w:cstheme="minorEastAsia"/>
                <w:sz w:val="18"/>
                <w:szCs w:val="18"/>
              </w:rPr>
            </w:pPr>
          </w:p>
          <w:p>
            <w:pPr>
              <w:spacing w:line="247" w:lineRule="auto"/>
              <w:jc w:val="left"/>
              <w:rPr>
                <w:rFonts w:hint="eastAsia" w:asciiTheme="minorEastAsia" w:hAnsiTheme="minorEastAsia" w:eastAsiaTheme="minorEastAsia" w:cstheme="minorEastAsia"/>
                <w:sz w:val="18"/>
                <w:szCs w:val="18"/>
              </w:rPr>
            </w:pPr>
          </w:p>
          <w:p>
            <w:pPr>
              <w:pStyle w:val="7"/>
              <w:spacing w:before="61" w:line="307" w:lineRule="auto"/>
              <w:ind w:right="46"/>
              <w:jc w:val="center"/>
              <w:rPr>
                <w:rFonts w:hint="eastAsia"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局能源股</w:t>
            </w:r>
          </w:p>
          <w:p>
            <w:pPr>
              <w:pStyle w:val="7"/>
              <w:spacing w:before="61" w:line="307" w:lineRule="auto"/>
              <w:ind w:right="4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联系</w:t>
            </w:r>
            <w:r>
              <w:rPr>
                <w:rFonts w:hint="eastAsia" w:asciiTheme="minorEastAsia" w:hAnsiTheme="minorEastAsia" w:eastAsiaTheme="minorEastAsia" w:cstheme="minorEastAsia"/>
                <w:spacing w:val="3"/>
                <w:sz w:val="18"/>
                <w:szCs w:val="18"/>
              </w:rPr>
              <w:t>电话：</w:t>
            </w:r>
            <w:r>
              <w:rPr>
                <w:rFonts w:hint="eastAsia" w:asciiTheme="minorEastAsia" w:hAnsiTheme="minorEastAsia" w:eastAsiaTheme="minorEastAsia" w:cstheme="minorEastAsia"/>
                <w:spacing w:val="3"/>
                <w:sz w:val="18"/>
                <w:szCs w:val="18"/>
                <w:lang w:val="en-US" w:eastAsia="zh-CN"/>
              </w:rPr>
              <w:t>0714-8718311</w:t>
            </w:r>
            <w:r>
              <w:rPr>
                <w:rFonts w:hint="eastAsia" w:asciiTheme="minorEastAsia" w:hAnsiTheme="minorEastAsia" w:eastAsiaTheme="minorEastAsia" w:cstheme="minorEastAsia"/>
                <w:spacing w:val="3"/>
                <w:sz w:val="18"/>
                <w:szCs w:val="18"/>
              </w:rPr>
              <w:t>)</w:t>
            </w:r>
          </w:p>
        </w:tc>
      </w:tr>
    </w:tbl>
    <w:p>
      <w:pPr>
        <w:pStyle w:val="2"/>
        <w:jc w:val="left"/>
      </w:pPr>
    </w:p>
    <w:p>
      <w:pPr>
        <w:jc w:val="left"/>
        <w:sectPr>
          <w:footerReference r:id="rId4" w:type="default"/>
          <w:pgSz w:w="16840" w:h="11960"/>
          <w:pgMar w:top="1016" w:right="905" w:bottom="1186" w:left="855" w:header="0" w:footer="1059" w:gutter="0"/>
          <w:cols w:space="720" w:num="1"/>
        </w:sectPr>
      </w:pPr>
    </w:p>
    <w:p>
      <w:pPr>
        <w:spacing w:before="15"/>
        <w:jc w:val="left"/>
      </w:pPr>
    </w:p>
    <w:p>
      <w:pPr>
        <w:spacing w:before="15"/>
        <w:jc w:val="left"/>
      </w:pPr>
    </w:p>
    <w:p>
      <w:pPr>
        <w:spacing w:before="14"/>
        <w:jc w:val="left"/>
      </w:pPr>
    </w:p>
    <w:tbl>
      <w:tblPr>
        <w:tblStyle w:val="6"/>
        <w:tblW w:w="15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99"/>
        <w:gridCol w:w="1689"/>
        <w:gridCol w:w="4367"/>
        <w:gridCol w:w="1209"/>
        <w:gridCol w:w="3527"/>
        <w:gridCol w:w="1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4" w:type="dxa"/>
            <w:vAlign w:val="top"/>
          </w:tcPr>
          <w:p>
            <w:pPr>
              <w:pStyle w:val="7"/>
              <w:spacing w:before="192" w:line="221" w:lineRule="auto"/>
              <w:ind w:left="158"/>
              <w:jc w:val="left"/>
              <w:rPr>
                <w:sz w:val="24"/>
                <w:szCs w:val="24"/>
              </w:rPr>
            </w:pPr>
            <w:r>
              <w:rPr>
                <w:b/>
                <w:bCs/>
                <w:spacing w:val="-5"/>
                <w:sz w:val="24"/>
                <w:szCs w:val="24"/>
              </w:rPr>
              <w:t>序号</w:t>
            </w:r>
          </w:p>
        </w:tc>
        <w:tc>
          <w:tcPr>
            <w:tcW w:w="1699" w:type="dxa"/>
            <w:vAlign w:val="top"/>
          </w:tcPr>
          <w:p>
            <w:pPr>
              <w:pStyle w:val="7"/>
              <w:spacing w:before="192" w:line="220" w:lineRule="auto"/>
              <w:ind w:left="364"/>
              <w:jc w:val="left"/>
              <w:rPr>
                <w:sz w:val="24"/>
                <w:szCs w:val="24"/>
              </w:rPr>
            </w:pPr>
            <w:r>
              <w:rPr>
                <w:b/>
                <w:bCs/>
                <w:spacing w:val="-1"/>
                <w:sz w:val="24"/>
                <w:szCs w:val="24"/>
              </w:rPr>
              <w:t>指导事项</w:t>
            </w:r>
          </w:p>
        </w:tc>
        <w:tc>
          <w:tcPr>
            <w:tcW w:w="1689" w:type="dxa"/>
            <w:vAlign w:val="top"/>
          </w:tcPr>
          <w:p>
            <w:pPr>
              <w:pStyle w:val="7"/>
              <w:spacing w:before="31" w:line="224" w:lineRule="auto"/>
              <w:ind w:left="595" w:right="118" w:hanging="480"/>
              <w:jc w:val="left"/>
              <w:rPr>
                <w:sz w:val="24"/>
                <w:szCs w:val="24"/>
              </w:rPr>
            </w:pPr>
            <w:r>
              <w:rPr>
                <w:b/>
                <w:bCs/>
                <w:spacing w:val="-2"/>
                <w:sz w:val="24"/>
                <w:szCs w:val="24"/>
              </w:rPr>
              <w:t>常见违法行为</w:t>
            </w:r>
            <w:r>
              <w:rPr>
                <w:spacing w:val="1"/>
                <w:sz w:val="24"/>
                <w:szCs w:val="24"/>
              </w:rPr>
              <w:t xml:space="preserve"> </w:t>
            </w:r>
            <w:r>
              <w:rPr>
                <w:b/>
                <w:bCs/>
                <w:spacing w:val="-5"/>
                <w:sz w:val="24"/>
                <w:szCs w:val="24"/>
              </w:rPr>
              <w:t>表现</w:t>
            </w:r>
          </w:p>
        </w:tc>
        <w:tc>
          <w:tcPr>
            <w:tcW w:w="4367" w:type="dxa"/>
            <w:vAlign w:val="top"/>
          </w:tcPr>
          <w:p>
            <w:pPr>
              <w:pStyle w:val="7"/>
              <w:spacing w:before="189" w:line="219" w:lineRule="auto"/>
              <w:ind w:left="1096"/>
              <w:jc w:val="left"/>
              <w:rPr>
                <w:sz w:val="24"/>
                <w:szCs w:val="24"/>
              </w:rPr>
            </w:pPr>
            <w:r>
              <w:rPr>
                <w:b/>
                <w:bCs/>
                <w:spacing w:val="-4"/>
                <w:sz w:val="24"/>
                <w:szCs w:val="24"/>
              </w:rPr>
              <w:t>法律依据及违法责任</w:t>
            </w:r>
          </w:p>
        </w:tc>
        <w:tc>
          <w:tcPr>
            <w:tcW w:w="1209" w:type="dxa"/>
            <w:vAlign w:val="top"/>
          </w:tcPr>
          <w:p>
            <w:pPr>
              <w:pStyle w:val="7"/>
              <w:spacing w:before="191" w:line="219" w:lineRule="auto"/>
              <w:ind w:left="119"/>
              <w:jc w:val="left"/>
              <w:rPr>
                <w:sz w:val="24"/>
                <w:szCs w:val="24"/>
              </w:rPr>
            </w:pPr>
            <w:r>
              <w:rPr>
                <w:b/>
                <w:bCs/>
                <w:spacing w:val="-5"/>
                <w:sz w:val="24"/>
                <w:szCs w:val="24"/>
              </w:rPr>
              <w:t>发生频率</w:t>
            </w:r>
          </w:p>
        </w:tc>
        <w:tc>
          <w:tcPr>
            <w:tcW w:w="3527" w:type="dxa"/>
            <w:vAlign w:val="top"/>
          </w:tcPr>
          <w:p>
            <w:pPr>
              <w:pStyle w:val="7"/>
              <w:spacing w:before="183" w:line="220" w:lineRule="auto"/>
              <w:ind w:left="1490"/>
              <w:jc w:val="left"/>
              <w:rPr>
                <w:sz w:val="27"/>
                <w:szCs w:val="27"/>
              </w:rPr>
            </w:pPr>
            <w:r>
              <w:rPr>
                <w:b/>
                <w:bCs/>
                <w:spacing w:val="-7"/>
                <w:sz w:val="27"/>
                <w:szCs w:val="27"/>
              </w:rPr>
              <w:t>建议</w:t>
            </w:r>
          </w:p>
        </w:tc>
        <w:tc>
          <w:tcPr>
            <w:tcW w:w="1764" w:type="dxa"/>
            <w:vAlign w:val="top"/>
          </w:tcPr>
          <w:p>
            <w:pPr>
              <w:pStyle w:val="7"/>
              <w:spacing w:before="31" w:line="219" w:lineRule="auto"/>
              <w:ind w:left="403"/>
              <w:jc w:val="left"/>
              <w:rPr>
                <w:sz w:val="24"/>
                <w:szCs w:val="24"/>
              </w:rPr>
            </w:pPr>
            <w:r>
              <w:rPr>
                <w:b/>
                <w:bCs/>
                <w:spacing w:val="2"/>
                <w:sz w:val="24"/>
                <w:szCs w:val="24"/>
              </w:rPr>
              <w:t>指导部门</w:t>
            </w:r>
          </w:p>
          <w:p>
            <w:pPr>
              <w:pStyle w:val="7"/>
              <w:spacing w:before="24" w:line="210" w:lineRule="auto"/>
              <w:ind w:left="223"/>
              <w:jc w:val="left"/>
              <w:rPr>
                <w:sz w:val="24"/>
                <w:szCs w:val="24"/>
              </w:rPr>
            </w:pPr>
            <w:r>
              <w:rPr>
                <w:b/>
                <w:bCs/>
                <w:spacing w:val="4"/>
                <w:sz w:val="24"/>
                <w:szCs w:val="24"/>
              </w:rPr>
              <w:t>(机构/科室)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5" w:hRule="atLeast"/>
        </w:trPr>
        <w:tc>
          <w:tcPr>
            <w:tcW w:w="814" w:type="dxa"/>
            <w:vAlign w:val="top"/>
          </w:tcPr>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pStyle w:val="7"/>
              <w:spacing w:before="61"/>
              <w:ind w:left="347"/>
              <w:jc w:val="left"/>
            </w:pPr>
            <w:r>
              <w:rPr>
                <w:b/>
                <w:bCs/>
                <w:spacing w:val="-2"/>
              </w:rPr>
              <w:t>5</w:t>
            </w:r>
          </w:p>
        </w:tc>
        <w:tc>
          <w:tcPr>
            <w:tcW w:w="1699" w:type="dxa"/>
            <w:vAlign w:val="top"/>
          </w:tcPr>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spacing w:line="253" w:lineRule="auto"/>
              <w:jc w:val="left"/>
              <w:rPr>
                <w:rFonts w:hint="eastAsia" w:asciiTheme="minorEastAsia" w:hAnsiTheme="minorEastAsia" w:eastAsiaTheme="minorEastAsia" w:cstheme="minorEastAsia"/>
                <w:b w:val="0"/>
                <w:bCs w:val="0"/>
                <w:sz w:val="18"/>
                <w:szCs w:val="18"/>
              </w:rPr>
            </w:pPr>
          </w:p>
          <w:p>
            <w:pPr>
              <w:pStyle w:val="7"/>
              <w:spacing w:before="62" w:line="293" w:lineRule="auto"/>
              <w:ind w:left="73" w:right="92" w:firstLine="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遵守固定资产投资</w:t>
            </w:r>
            <w:r>
              <w:rPr>
                <w:rFonts w:hint="eastAsia" w:asciiTheme="minorEastAsia" w:hAnsiTheme="minorEastAsia" w:eastAsiaTheme="minorEastAsia" w:cstheme="minorEastAsia"/>
                <w:b w:val="0"/>
                <w:bCs w:val="0"/>
                <w:sz w:val="18"/>
                <w:szCs w:val="18"/>
              </w:rPr>
              <w:t xml:space="preserve"> </w:t>
            </w:r>
            <w:r>
              <w:rPr>
                <w:rFonts w:hint="eastAsia" w:asciiTheme="minorEastAsia" w:hAnsiTheme="minorEastAsia" w:eastAsiaTheme="minorEastAsia" w:cstheme="minorEastAsia"/>
                <w:b w:val="0"/>
                <w:bCs w:val="0"/>
                <w:spacing w:val="-3"/>
                <w:sz w:val="18"/>
                <w:szCs w:val="18"/>
              </w:rPr>
              <w:t>项目核准和备案管</w:t>
            </w:r>
            <w:r>
              <w:rPr>
                <w:rFonts w:hint="eastAsia" w:asciiTheme="minorEastAsia" w:hAnsiTheme="minorEastAsia" w:eastAsiaTheme="minorEastAsia" w:cstheme="minorEastAsia"/>
                <w:b w:val="0"/>
                <w:bCs w:val="0"/>
                <w:spacing w:val="6"/>
                <w:sz w:val="18"/>
                <w:szCs w:val="18"/>
              </w:rPr>
              <w:t xml:space="preserve"> </w:t>
            </w:r>
            <w:r>
              <w:rPr>
                <w:rFonts w:hint="eastAsia" w:asciiTheme="minorEastAsia" w:hAnsiTheme="minorEastAsia" w:eastAsiaTheme="minorEastAsia" w:cstheme="minorEastAsia"/>
                <w:b w:val="0"/>
                <w:bCs w:val="0"/>
                <w:spacing w:val="-5"/>
                <w:sz w:val="18"/>
                <w:szCs w:val="18"/>
              </w:rPr>
              <w:t>理办法</w:t>
            </w:r>
          </w:p>
        </w:tc>
        <w:tc>
          <w:tcPr>
            <w:tcW w:w="1689" w:type="dxa"/>
            <w:vAlign w:val="top"/>
          </w:tcPr>
          <w:p>
            <w:pPr>
              <w:spacing w:line="270" w:lineRule="auto"/>
              <w:jc w:val="left"/>
              <w:rPr>
                <w:rFonts w:hint="eastAsia" w:asciiTheme="minorEastAsia" w:hAnsiTheme="minorEastAsia" w:eastAsiaTheme="minorEastAsia" w:cstheme="minorEastAsia"/>
                <w:b w:val="0"/>
                <w:bCs w:val="0"/>
                <w:sz w:val="18"/>
                <w:szCs w:val="18"/>
              </w:rPr>
            </w:pPr>
          </w:p>
          <w:p>
            <w:pPr>
              <w:spacing w:line="270" w:lineRule="auto"/>
              <w:jc w:val="left"/>
              <w:rPr>
                <w:rFonts w:hint="eastAsia" w:asciiTheme="minorEastAsia" w:hAnsiTheme="minorEastAsia" w:eastAsiaTheme="minorEastAsia" w:cstheme="minorEastAsia"/>
                <w:b w:val="0"/>
                <w:bCs w:val="0"/>
                <w:sz w:val="18"/>
                <w:szCs w:val="18"/>
              </w:rPr>
            </w:pPr>
          </w:p>
          <w:p>
            <w:pPr>
              <w:spacing w:line="270" w:lineRule="auto"/>
              <w:jc w:val="left"/>
              <w:rPr>
                <w:rFonts w:hint="eastAsia" w:asciiTheme="minorEastAsia" w:hAnsiTheme="minorEastAsia" w:eastAsiaTheme="minorEastAsia" w:cstheme="minorEastAsia"/>
                <w:b w:val="0"/>
                <w:bCs w:val="0"/>
                <w:sz w:val="18"/>
                <w:szCs w:val="18"/>
              </w:rPr>
            </w:pPr>
          </w:p>
          <w:p>
            <w:pPr>
              <w:spacing w:line="270" w:lineRule="auto"/>
              <w:jc w:val="left"/>
              <w:rPr>
                <w:rFonts w:hint="eastAsia" w:asciiTheme="minorEastAsia" w:hAnsiTheme="minorEastAsia" w:eastAsiaTheme="minorEastAsia" w:cstheme="minorEastAsia"/>
                <w:b w:val="0"/>
                <w:bCs w:val="0"/>
                <w:sz w:val="18"/>
                <w:szCs w:val="18"/>
              </w:rPr>
            </w:pPr>
          </w:p>
          <w:p>
            <w:pPr>
              <w:spacing w:line="270" w:lineRule="auto"/>
              <w:jc w:val="left"/>
              <w:rPr>
                <w:rFonts w:hint="eastAsia" w:asciiTheme="minorEastAsia" w:hAnsiTheme="minorEastAsia" w:eastAsiaTheme="minorEastAsia" w:cstheme="minorEastAsia"/>
                <w:b w:val="0"/>
                <w:bCs w:val="0"/>
                <w:sz w:val="18"/>
                <w:szCs w:val="18"/>
              </w:rPr>
            </w:pPr>
          </w:p>
          <w:p>
            <w:pPr>
              <w:spacing w:line="271" w:lineRule="auto"/>
              <w:jc w:val="left"/>
              <w:rPr>
                <w:rFonts w:hint="eastAsia" w:asciiTheme="minorEastAsia" w:hAnsiTheme="minorEastAsia" w:eastAsiaTheme="minorEastAsia" w:cstheme="minorEastAsia"/>
                <w:b w:val="0"/>
                <w:bCs w:val="0"/>
                <w:sz w:val="18"/>
                <w:szCs w:val="18"/>
              </w:rPr>
            </w:pPr>
          </w:p>
          <w:p>
            <w:pPr>
              <w:spacing w:line="271" w:lineRule="auto"/>
              <w:jc w:val="left"/>
              <w:rPr>
                <w:rFonts w:hint="eastAsia" w:asciiTheme="minorEastAsia" w:hAnsiTheme="minorEastAsia" w:eastAsiaTheme="minorEastAsia" w:cstheme="minorEastAsia"/>
                <w:b w:val="0"/>
                <w:bCs w:val="0"/>
                <w:sz w:val="18"/>
                <w:szCs w:val="18"/>
              </w:rPr>
            </w:pPr>
          </w:p>
          <w:p>
            <w:pPr>
              <w:pStyle w:val="7"/>
              <w:spacing w:before="62" w:line="312" w:lineRule="auto"/>
              <w:ind w:left="71" w:right="50"/>
              <w:jc w:val="left"/>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1.未依法办理核准  或备案手续开工建  设，未按照核准或  备案的建设地点、 建设规模、建设内 容等进行建设。</w:t>
            </w:r>
          </w:p>
          <w:p>
            <w:pPr>
              <w:pStyle w:val="7"/>
              <w:spacing w:before="62" w:line="312" w:lineRule="auto"/>
              <w:ind w:left="71" w:right="50"/>
              <w:jc w:val="left"/>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2.办理核准或备案 手续时提供虚假信 息。</w:t>
            </w:r>
          </w:p>
          <w:p>
            <w:pPr>
              <w:pStyle w:val="7"/>
              <w:spacing w:before="62" w:line="312" w:lineRule="auto"/>
              <w:ind w:left="71" w:right="5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spacing w:val="1"/>
                <w:sz w:val="18"/>
                <w:szCs w:val="18"/>
              </w:rPr>
              <w:t>3.项目信息变更未 及时告知投资主管 部门。</w:t>
            </w:r>
          </w:p>
        </w:tc>
        <w:tc>
          <w:tcPr>
            <w:tcW w:w="4367" w:type="dxa"/>
            <w:vAlign w:val="top"/>
          </w:tcPr>
          <w:p>
            <w:pPr>
              <w:pStyle w:val="7"/>
              <w:spacing w:before="62" w:line="293" w:lineRule="auto"/>
              <w:ind w:left="73" w:right="92" w:firstLine="9"/>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《企业投资项目核准和备案管理办法》(国家发改委 2017年2号令)</w:t>
            </w:r>
          </w:p>
          <w:p>
            <w:pPr>
              <w:pStyle w:val="7"/>
              <w:spacing w:before="62" w:line="293" w:lineRule="auto"/>
              <w:ind w:left="73" w:right="92" w:firstLine="9"/>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第五十六条</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w:t>
            </w:r>
            <w:r>
              <w:rPr>
                <w:rFonts w:hint="eastAsia" w:asciiTheme="minorEastAsia" w:hAnsiTheme="minorEastAsia" w:eastAsiaTheme="minorEastAsia" w:cstheme="minorEastAsia"/>
                <w:b w:val="0"/>
                <w:bCs w:val="0"/>
                <w:spacing w:val="-3"/>
                <w:sz w:val="18"/>
                <w:szCs w:val="18"/>
                <w:lang w:eastAsia="zh-CN"/>
              </w:rPr>
              <w:t>，</w:t>
            </w:r>
            <w:r>
              <w:rPr>
                <w:rFonts w:hint="eastAsia" w:asciiTheme="minorEastAsia" w:hAnsiTheme="minorEastAsia" w:eastAsiaTheme="minorEastAsia" w:cstheme="minorEastAsia"/>
                <w:b w:val="0"/>
                <w:bCs w:val="0"/>
                <w:spacing w:val="-3"/>
                <w:sz w:val="18"/>
                <w:szCs w:val="18"/>
              </w:rPr>
              <w:t>处项目总投资额1‰以上5‰以下的罚款；已经开工建设的，依照前款规定予以处罚；构成犯罪的，依法追究刑事责任。</w:t>
            </w:r>
          </w:p>
          <w:p>
            <w:pPr>
              <w:pStyle w:val="7"/>
              <w:spacing w:before="62" w:line="293" w:lineRule="auto"/>
              <w:ind w:left="73" w:right="92" w:firstLine="9"/>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第五十七条</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实行备案管理的项目，企业未依法将项目  信息或者已备案项目信息变更情况告知备案机关，或者向备案机关提供虚假信息的，由备案机关责令限期改正；逾期不改正的，处2万元以上5万元以下的罚款。</w:t>
            </w:r>
          </w:p>
          <w:p>
            <w:pPr>
              <w:pStyle w:val="7"/>
              <w:spacing w:before="62" w:line="293" w:lineRule="auto"/>
              <w:ind w:left="73" w:right="92" w:firstLine="9"/>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第五十八条</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企业投资建设产业政策禁止投资建设项目的，由县级以上人民政府投资主管部门责令停止建设或者责令停产并恢复原状，对企业处项目总投资额</w:t>
            </w:r>
          </w:p>
          <w:p>
            <w:pPr>
              <w:pStyle w:val="7"/>
              <w:spacing w:before="62" w:line="293" w:lineRule="auto"/>
              <w:ind w:left="73" w:right="92" w:firstLine="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5‰以上10‰以下的罚款；对直接负责的主管人员和其他直接责任人员处5万元以上10万元以下的罚款，属于国家工作人员的，依法给予处分。法律、行政法规另有规定的，依照其规定。</w:t>
            </w:r>
          </w:p>
        </w:tc>
        <w:tc>
          <w:tcPr>
            <w:tcW w:w="1209" w:type="dxa"/>
            <w:vAlign w:val="top"/>
          </w:tcPr>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1"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spacing w:line="242" w:lineRule="auto"/>
              <w:jc w:val="left"/>
              <w:rPr>
                <w:rFonts w:hint="eastAsia" w:asciiTheme="minorEastAsia" w:hAnsiTheme="minorEastAsia" w:eastAsiaTheme="minorEastAsia" w:cstheme="minorEastAsia"/>
                <w:sz w:val="18"/>
                <w:szCs w:val="18"/>
              </w:rPr>
            </w:pPr>
          </w:p>
          <w:p>
            <w:pPr>
              <w:pStyle w:val="7"/>
              <w:spacing w:before="46" w:line="227" w:lineRule="auto"/>
              <w:ind w:left="457"/>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pacing w:val="-4"/>
                <w:sz w:val="16"/>
                <w:szCs w:val="16"/>
              </w:rPr>
              <w:t>★★</w:t>
            </w:r>
          </w:p>
        </w:tc>
        <w:tc>
          <w:tcPr>
            <w:tcW w:w="3527" w:type="dxa"/>
            <w:vAlign w:val="top"/>
          </w:tcPr>
          <w:p>
            <w:pPr>
              <w:spacing w:line="322" w:lineRule="auto"/>
              <w:jc w:val="left"/>
              <w:rPr>
                <w:rFonts w:hint="eastAsia" w:asciiTheme="minorEastAsia" w:hAnsiTheme="minorEastAsia" w:eastAsiaTheme="minorEastAsia" w:cstheme="minorEastAsia"/>
                <w:b w:val="0"/>
                <w:bCs w:val="0"/>
                <w:sz w:val="18"/>
                <w:szCs w:val="18"/>
              </w:rPr>
            </w:pPr>
          </w:p>
          <w:p>
            <w:pPr>
              <w:pStyle w:val="7"/>
              <w:spacing w:before="62" w:line="291" w:lineRule="auto"/>
              <w:ind w:left="49" w:firstLine="77"/>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8"/>
                <w:sz w:val="18"/>
                <w:szCs w:val="18"/>
              </w:rPr>
              <w:t>1.企业投资建设固定资产投资项目，应遵</w:t>
            </w:r>
            <w:r>
              <w:rPr>
                <w:rFonts w:hint="eastAsia" w:asciiTheme="minorEastAsia" w:hAnsiTheme="minorEastAsia" w:eastAsiaTheme="minorEastAsia" w:cstheme="minorEastAsia"/>
                <w:b w:val="0"/>
                <w:bCs w:val="0"/>
                <w:spacing w:val="-8"/>
                <w:sz w:val="18"/>
                <w:szCs w:val="18"/>
              </w:rPr>
              <w:t>守国家法律法规，符合国家和省国民经济和社会发展总体规划、专项规划、区域规</w:t>
            </w:r>
            <w:r>
              <w:rPr>
                <w:rFonts w:hint="eastAsia" w:asciiTheme="minorEastAsia" w:hAnsiTheme="minorEastAsia" w:eastAsiaTheme="minorEastAsia" w:cstheme="minorEastAsia"/>
                <w:b w:val="0"/>
                <w:bCs w:val="0"/>
                <w:spacing w:val="-10"/>
                <w:sz w:val="18"/>
                <w:szCs w:val="18"/>
              </w:rPr>
              <w:t>划、产业政策、市场准入标准、资源开发、</w:t>
            </w:r>
            <w:r>
              <w:rPr>
                <w:rFonts w:hint="eastAsia" w:asciiTheme="minorEastAsia" w:hAnsiTheme="minorEastAsia" w:eastAsiaTheme="minorEastAsia" w:cstheme="minorEastAsia"/>
                <w:b w:val="0"/>
                <w:bCs w:val="0"/>
                <w:spacing w:val="-7"/>
                <w:sz w:val="18"/>
                <w:szCs w:val="18"/>
              </w:rPr>
              <w:t>能耗与环境管理等要求，依法履行项目核</w:t>
            </w:r>
            <w:r>
              <w:rPr>
                <w:rFonts w:hint="eastAsia" w:asciiTheme="minorEastAsia" w:hAnsiTheme="minorEastAsia" w:eastAsiaTheme="minorEastAsia" w:cstheme="minorEastAsia"/>
                <w:b w:val="0"/>
                <w:bCs w:val="0"/>
                <w:sz w:val="18"/>
                <w:szCs w:val="18"/>
              </w:rPr>
              <w:t>准或者备案手续。</w:t>
            </w:r>
          </w:p>
          <w:p>
            <w:pPr>
              <w:pStyle w:val="7"/>
              <w:spacing w:before="59" w:line="294" w:lineRule="auto"/>
              <w:ind w:left="49" w:right="34"/>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2.项目单位应当通过在线平台如实报送项</w:t>
            </w:r>
            <w:r>
              <w:rPr>
                <w:rFonts w:hint="eastAsia" w:asciiTheme="minorEastAsia" w:hAnsiTheme="minorEastAsia" w:eastAsiaTheme="minorEastAsia" w:cstheme="minorEastAsia"/>
                <w:b w:val="0"/>
                <w:bCs w:val="0"/>
                <w:spacing w:val="-2"/>
                <w:sz w:val="18"/>
                <w:szCs w:val="18"/>
              </w:rPr>
              <w:t>目进展情况。项目开工前，项目单位应当</w:t>
            </w:r>
            <w:r>
              <w:rPr>
                <w:rFonts w:hint="eastAsia" w:asciiTheme="minorEastAsia" w:hAnsiTheme="minorEastAsia" w:eastAsiaTheme="minorEastAsia" w:cstheme="minorEastAsia"/>
                <w:b w:val="0"/>
                <w:bCs w:val="0"/>
                <w:spacing w:val="-3"/>
                <w:sz w:val="18"/>
                <w:szCs w:val="18"/>
              </w:rPr>
              <w:t>登录湖北省投资在线审批监管平台报备项</w:t>
            </w:r>
            <w:r>
              <w:rPr>
                <w:rFonts w:hint="eastAsia" w:asciiTheme="minorEastAsia" w:hAnsiTheme="minorEastAsia" w:eastAsiaTheme="minorEastAsia" w:cstheme="minorEastAsia"/>
                <w:b w:val="0"/>
                <w:bCs w:val="0"/>
                <w:spacing w:val="-2"/>
                <w:sz w:val="18"/>
                <w:szCs w:val="18"/>
              </w:rPr>
              <w:t>目开工基本信息。项目开工后，项目单位</w:t>
            </w:r>
            <w:r>
              <w:rPr>
                <w:rFonts w:hint="eastAsia" w:asciiTheme="minorEastAsia" w:hAnsiTheme="minorEastAsia" w:eastAsiaTheme="minorEastAsia" w:cstheme="minorEastAsia"/>
                <w:b w:val="0"/>
                <w:bCs w:val="0"/>
                <w:spacing w:val="-3"/>
                <w:sz w:val="18"/>
                <w:szCs w:val="18"/>
              </w:rPr>
              <w:t>应当按年度在线报备项目建设动态进度基</w:t>
            </w:r>
            <w:r>
              <w:rPr>
                <w:rFonts w:hint="eastAsia" w:asciiTheme="minorEastAsia" w:hAnsiTheme="minorEastAsia" w:eastAsiaTheme="minorEastAsia" w:cstheme="minorEastAsia"/>
                <w:b w:val="0"/>
                <w:bCs w:val="0"/>
                <w:spacing w:val="-2"/>
                <w:sz w:val="18"/>
                <w:szCs w:val="18"/>
              </w:rPr>
              <w:t>本信息。项目竣工验收后，项目单位应</w:t>
            </w:r>
            <w:r>
              <w:rPr>
                <w:rFonts w:hint="eastAsia" w:asciiTheme="minorEastAsia" w:hAnsiTheme="minorEastAsia" w:eastAsiaTheme="minorEastAsia" w:cstheme="minorEastAsia"/>
                <w:b w:val="0"/>
                <w:bCs w:val="0"/>
                <w:spacing w:val="2"/>
                <w:sz w:val="18"/>
                <w:szCs w:val="18"/>
              </w:rPr>
              <w:t>在线报备项目竣工基本信息。</w:t>
            </w:r>
          </w:p>
          <w:p>
            <w:pPr>
              <w:pStyle w:val="7"/>
              <w:spacing w:before="85" w:line="294" w:lineRule="auto"/>
              <w:ind w:left="49" w:firstLine="48"/>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6"/>
                <w:sz w:val="18"/>
                <w:szCs w:val="18"/>
              </w:rPr>
              <w:t>3.取得项目核准文件的项目，建设地点、投</w:t>
            </w:r>
            <w:r>
              <w:rPr>
                <w:rFonts w:hint="eastAsia" w:asciiTheme="minorEastAsia" w:hAnsiTheme="minorEastAsia" w:eastAsiaTheme="minorEastAsia" w:cstheme="minorEastAsia"/>
                <w:b w:val="0"/>
                <w:bCs w:val="0"/>
                <w:spacing w:val="-10"/>
                <w:sz w:val="18"/>
                <w:szCs w:val="18"/>
              </w:rPr>
              <w:t>资规模、建设规模、建设内容等发生变更，</w:t>
            </w:r>
            <w:r>
              <w:rPr>
                <w:rFonts w:hint="eastAsia" w:asciiTheme="minorEastAsia" w:hAnsiTheme="minorEastAsia" w:eastAsiaTheme="minorEastAsia" w:cstheme="minorEastAsia"/>
                <w:b w:val="0"/>
                <w:bCs w:val="0"/>
                <w:spacing w:val="-8"/>
                <w:sz w:val="18"/>
                <w:szCs w:val="18"/>
              </w:rPr>
              <w:t>或者变更可能对经济、社会、环境等产生</w:t>
            </w:r>
            <w:r>
              <w:rPr>
                <w:rFonts w:hint="eastAsia" w:asciiTheme="minorEastAsia" w:hAnsiTheme="minorEastAsia" w:eastAsiaTheme="minorEastAsia" w:cstheme="minorEastAsia"/>
                <w:b w:val="0"/>
                <w:bCs w:val="0"/>
                <w:spacing w:val="-7"/>
                <w:sz w:val="18"/>
                <w:szCs w:val="18"/>
              </w:rPr>
              <w:t>重大不利影响的，应当及时以书面形式向</w:t>
            </w:r>
            <w:r>
              <w:rPr>
                <w:rFonts w:hint="eastAsia" w:asciiTheme="minorEastAsia" w:hAnsiTheme="minorEastAsia" w:eastAsiaTheme="minorEastAsia" w:cstheme="minorEastAsia"/>
                <w:b w:val="0"/>
                <w:bCs w:val="0"/>
                <w:spacing w:val="-8"/>
                <w:sz w:val="18"/>
                <w:szCs w:val="18"/>
              </w:rPr>
              <w:t>原项目核准机关提出变更申请。项目备案</w:t>
            </w:r>
            <w:r>
              <w:rPr>
                <w:rFonts w:hint="eastAsia" w:asciiTheme="minorEastAsia" w:hAnsiTheme="minorEastAsia" w:eastAsiaTheme="minorEastAsia" w:cstheme="minorEastAsia"/>
                <w:b w:val="0"/>
                <w:bCs w:val="0"/>
                <w:spacing w:val="-2"/>
                <w:sz w:val="18"/>
                <w:szCs w:val="18"/>
              </w:rPr>
              <w:t>后，项目</w:t>
            </w:r>
            <w:r>
              <w:rPr>
                <w:rFonts w:hint="eastAsia" w:asciiTheme="minorEastAsia" w:hAnsiTheme="minorEastAsia" w:eastAsiaTheme="minorEastAsia" w:cstheme="minorEastAsia"/>
                <w:b w:val="0"/>
                <w:bCs w:val="0"/>
                <w:spacing w:val="-2"/>
                <w:sz w:val="18"/>
                <w:szCs w:val="18"/>
                <w:lang w:eastAsia="zh-CN"/>
              </w:rPr>
              <w:t>法</w:t>
            </w:r>
            <w:r>
              <w:rPr>
                <w:rFonts w:hint="eastAsia" w:asciiTheme="minorEastAsia" w:hAnsiTheme="minorEastAsia" w:eastAsiaTheme="minorEastAsia" w:cstheme="minorEastAsia"/>
                <w:b w:val="0"/>
                <w:bCs w:val="0"/>
                <w:spacing w:val="-2"/>
                <w:sz w:val="18"/>
                <w:szCs w:val="18"/>
              </w:rPr>
              <w:t>人发生变化，项目建设地点</w:t>
            </w:r>
            <w:r>
              <w:rPr>
                <w:rFonts w:hint="eastAsia" w:asciiTheme="minorEastAsia" w:hAnsiTheme="minorEastAsia" w:eastAsiaTheme="minorEastAsia" w:cstheme="minorEastAsia"/>
                <w:b w:val="0"/>
                <w:bCs w:val="0"/>
                <w:spacing w:val="-6"/>
                <w:sz w:val="18"/>
                <w:szCs w:val="18"/>
              </w:rPr>
              <w:t>规模、内容发生重</w:t>
            </w:r>
            <w:r>
              <w:rPr>
                <w:rFonts w:hint="eastAsia" w:asciiTheme="minorEastAsia" w:hAnsiTheme="minorEastAsia" w:eastAsiaTheme="minorEastAsia" w:cstheme="minorEastAsia"/>
                <w:b w:val="0"/>
                <w:bCs w:val="0"/>
                <w:spacing w:val="-6"/>
                <w:sz w:val="18"/>
                <w:szCs w:val="18"/>
                <w:lang w:eastAsia="zh-CN"/>
              </w:rPr>
              <w:t>大</w:t>
            </w:r>
            <w:r>
              <w:rPr>
                <w:rFonts w:hint="eastAsia" w:asciiTheme="minorEastAsia" w:hAnsiTheme="minorEastAsia" w:eastAsiaTheme="minorEastAsia" w:cstheme="minorEastAsia"/>
                <w:b w:val="0"/>
                <w:bCs w:val="0"/>
                <w:spacing w:val="-6"/>
                <w:sz w:val="18"/>
                <w:szCs w:val="18"/>
              </w:rPr>
              <w:t>变更，或者放弃项目</w:t>
            </w:r>
            <w:r>
              <w:rPr>
                <w:rFonts w:hint="eastAsia" w:asciiTheme="minorEastAsia" w:hAnsiTheme="minorEastAsia" w:eastAsiaTheme="minorEastAsia" w:cstheme="minorEastAsia"/>
                <w:b w:val="0"/>
                <w:bCs w:val="0"/>
                <w:spacing w:val="-8"/>
                <w:sz w:val="18"/>
                <w:szCs w:val="18"/>
              </w:rPr>
              <w:t>建设的，项目单位应当通过在线平台及时</w:t>
            </w:r>
            <w:r>
              <w:rPr>
                <w:rFonts w:hint="eastAsia" w:asciiTheme="minorEastAsia" w:hAnsiTheme="minorEastAsia" w:eastAsiaTheme="minorEastAsia" w:cstheme="minorEastAsia"/>
                <w:b w:val="0"/>
                <w:bCs w:val="0"/>
                <w:spacing w:val="1"/>
                <w:sz w:val="18"/>
                <w:szCs w:val="18"/>
              </w:rPr>
              <w:t>告知项目备案机关，并修改相关信息。</w:t>
            </w:r>
          </w:p>
        </w:tc>
        <w:tc>
          <w:tcPr>
            <w:tcW w:w="1764" w:type="dxa"/>
            <w:vAlign w:val="top"/>
          </w:tcPr>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spacing w:line="252" w:lineRule="auto"/>
              <w:jc w:val="left"/>
              <w:rPr>
                <w:rFonts w:hint="eastAsia" w:asciiTheme="minorEastAsia" w:hAnsiTheme="minorEastAsia" w:eastAsiaTheme="minorEastAsia" w:cstheme="minorEastAsia"/>
                <w:b w:val="0"/>
                <w:bCs w:val="0"/>
                <w:sz w:val="18"/>
                <w:szCs w:val="18"/>
              </w:rPr>
            </w:pPr>
          </w:p>
          <w:p>
            <w:pPr>
              <w:pStyle w:val="7"/>
              <w:spacing w:before="62" w:line="314" w:lineRule="auto"/>
              <w:ind w:left="72" w:right="35" w:firstLine="50"/>
              <w:jc w:val="center"/>
              <w:rPr>
                <w:rFonts w:hint="eastAsia" w:asciiTheme="minorEastAsia" w:hAnsiTheme="minorEastAsia" w:eastAsiaTheme="minorEastAsia" w:cstheme="minorEastAsia"/>
                <w:b w:val="0"/>
                <w:bCs w:val="0"/>
                <w:spacing w:val="-4"/>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w:t>
            </w:r>
            <w:r>
              <w:rPr>
                <w:rFonts w:hint="eastAsia" w:asciiTheme="minorEastAsia" w:hAnsiTheme="minorEastAsia" w:eastAsiaTheme="minorEastAsia" w:cstheme="minorEastAsia"/>
                <w:b w:val="0"/>
                <w:bCs w:val="0"/>
                <w:spacing w:val="-4"/>
                <w:sz w:val="18"/>
                <w:szCs w:val="18"/>
              </w:rPr>
              <w:t>审批</w:t>
            </w:r>
            <w:r>
              <w:rPr>
                <w:rFonts w:hint="eastAsia" w:asciiTheme="minorEastAsia" w:hAnsiTheme="minorEastAsia" w:eastAsiaTheme="minorEastAsia" w:cstheme="minorEastAsia"/>
                <w:b w:val="0"/>
                <w:bCs w:val="0"/>
                <w:spacing w:val="-4"/>
                <w:sz w:val="18"/>
                <w:szCs w:val="18"/>
                <w:lang w:eastAsia="zh-CN"/>
              </w:rPr>
              <w:t>股</w:t>
            </w:r>
          </w:p>
          <w:p>
            <w:pPr>
              <w:pStyle w:val="7"/>
              <w:spacing w:before="62" w:line="314" w:lineRule="auto"/>
              <w:ind w:left="72" w:right="35" w:firstLine="50"/>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w:t>
            </w:r>
            <w:r>
              <w:rPr>
                <w:rFonts w:hint="eastAsia" w:asciiTheme="minorEastAsia" w:hAnsiTheme="minorEastAsia" w:eastAsiaTheme="minorEastAsia" w:cstheme="minorEastAsia"/>
                <w:b w:val="0"/>
                <w:bCs w:val="0"/>
                <w:spacing w:val="-4"/>
                <w:sz w:val="18"/>
                <w:szCs w:val="18"/>
                <w:lang w:eastAsia="zh-CN"/>
              </w:rPr>
              <w:t>联系</w:t>
            </w:r>
            <w:r>
              <w:rPr>
                <w:rFonts w:hint="eastAsia" w:asciiTheme="minorEastAsia" w:hAnsiTheme="minorEastAsia" w:eastAsiaTheme="minorEastAsia" w:cstheme="minorEastAsia"/>
                <w:b w:val="0"/>
                <w:bCs w:val="0"/>
                <w:spacing w:val="-4"/>
                <w:sz w:val="18"/>
                <w:szCs w:val="18"/>
              </w:rPr>
              <w:t>电</w:t>
            </w:r>
            <w:r>
              <w:rPr>
                <w:rFonts w:hint="eastAsia" w:asciiTheme="minorEastAsia" w:hAnsiTheme="minorEastAsia" w:eastAsiaTheme="minorEastAsia" w:cstheme="minorEastAsia"/>
                <w:b w:val="0"/>
                <w:bCs w:val="0"/>
                <w:sz w:val="18"/>
                <w:szCs w:val="18"/>
              </w:rPr>
              <w:t>话：</w:t>
            </w:r>
            <w:r>
              <w:rPr>
                <w:rFonts w:hint="eastAsia" w:asciiTheme="minorEastAsia" w:hAnsiTheme="minorEastAsia" w:eastAsiaTheme="minorEastAsia" w:cstheme="minorEastAsia"/>
                <w:b w:val="0"/>
                <w:bCs w:val="0"/>
                <w:sz w:val="18"/>
                <w:szCs w:val="18"/>
                <w:lang w:val="en-US" w:eastAsia="zh-CN"/>
              </w:rPr>
              <w:t>0714-8769849</w:t>
            </w:r>
            <w:r>
              <w:rPr>
                <w:rFonts w:hint="eastAsia" w:asciiTheme="minorEastAsia" w:hAnsiTheme="minorEastAsia" w:eastAsiaTheme="minorEastAsia" w:cstheme="minorEastAsia"/>
                <w:b w:val="0"/>
                <w:bCs w:val="0"/>
                <w:sz w:val="18"/>
                <w:szCs w:val="18"/>
              </w:rPr>
              <w:t>)</w:t>
            </w:r>
          </w:p>
        </w:tc>
      </w:tr>
    </w:tbl>
    <w:p>
      <w:pPr>
        <w:pStyle w:val="2"/>
        <w:jc w:val="left"/>
      </w:pPr>
    </w:p>
    <w:p>
      <w:pPr>
        <w:jc w:val="left"/>
        <w:sectPr>
          <w:footerReference r:id="rId5" w:type="default"/>
          <w:pgSz w:w="16840" w:h="11960"/>
          <w:pgMar w:top="1016" w:right="884" w:bottom="1197" w:left="875" w:header="0" w:footer="1071" w:gutter="0"/>
          <w:cols w:space="720" w:num="1"/>
        </w:sectPr>
      </w:pPr>
    </w:p>
    <w:p>
      <w:pPr>
        <w:spacing w:before="8"/>
        <w:jc w:val="left"/>
      </w:pPr>
    </w:p>
    <w:p>
      <w:pPr>
        <w:spacing w:before="8"/>
        <w:jc w:val="left"/>
      </w:pPr>
    </w:p>
    <w:p>
      <w:pPr>
        <w:spacing w:before="7"/>
        <w:jc w:val="left"/>
      </w:pPr>
    </w:p>
    <w:tbl>
      <w:tblPr>
        <w:tblStyle w:val="6"/>
        <w:tblW w:w="150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99"/>
        <w:gridCol w:w="1689"/>
        <w:gridCol w:w="4377"/>
        <w:gridCol w:w="1219"/>
        <w:gridCol w:w="3508"/>
        <w:gridCol w:w="1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14" w:type="dxa"/>
            <w:vAlign w:val="top"/>
          </w:tcPr>
          <w:p>
            <w:pPr>
              <w:pStyle w:val="7"/>
              <w:spacing w:before="230" w:line="221" w:lineRule="auto"/>
              <w:ind w:left="217"/>
              <w:jc w:val="left"/>
              <w:rPr>
                <w:sz w:val="18"/>
                <w:szCs w:val="18"/>
              </w:rPr>
            </w:pPr>
            <w:r>
              <w:rPr>
                <w:b/>
                <w:bCs/>
                <w:spacing w:val="-4"/>
                <w:sz w:val="18"/>
                <w:szCs w:val="18"/>
              </w:rPr>
              <w:t>序号</w:t>
            </w:r>
          </w:p>
        </w:tc>
        <w:tc>
          <w:tcPr>
            <w:tcW w:w="1699" w:type="dxa"/>
            <w:vAlign w:val="top"/>
          </w:tcPr>
          <w:p>
            <w:pPr>
              <w:pStyle w:val="7"/>
              <w:spacing w:before="230" w:line="220" w:lineRule="auto"/>
              <w:ind w:left="483"/>
              <w:jc w:val="left"/>
              <w:rPr>
                <w:sz w:val="18"/>
                <w:szCs w:val="18"/>
              </w:rPr>
            </w:pPr>
            <w:r>
              <w:rPr>
                <w:b/>
                <w:bCs/>
                <w:spacing w:val="-4"/>
                <w:sz w:val="18"/>
                <w:szCs w:val="18"/>
              </w:rPr>
              <w:t>指导事项</w:t>
            </w:r>
          </w:p>
        </w:tc>
        <w:tc>
          <w:tcPr>
            <w:tcW w:w="1689" w:type="dxa"/>
            <w:vAlign w:val="top"/>
          </w:tcPr>
          <w:p>
            <w:pPr>
              <w:pStyle w:val="7"/>
              <w:spacing w:before="29" w:line="305" w:lineRule="auto"/>
              <w:ind w:left="654" w:right="120" w:hanging="540"/>
              <w:jc w:val="left"/>
              <w:rPr>
                <w:sz w:val="18"/>
                <w:szCs w:val="18"/>
              </w:rPr>
            </w:pPr>
            <w:r>
              <w:rPr>
                <w:b/>
                <w:bCs/>
                <w:spacing w:val="-9"/>
                <w:sz w:val="18"/>
                <w:szCs w:val="18"/>
              </w:rPr>
              <w:t>常</w:t>
            </w:r>
            <w:r>
              <w:rPr>
                <w:spacing w:val="-9"/>
                <w:sz w:val="18"/>
                <w:szCs w:val="18"/>
              </w:rPr>
              <w:t xml:space="preserve"> </w:t>
            </w:r>
            <w:r>
              <w:rPr>
                <w:b/>
                <w:bCs/>
                <w:spacing w:val="-9"/>
                <w:sz w:val="18"/>
                <w:szCs w:val="18"/>
              </w:rPr>
              <w:t>见</w:t>
            </w:r>
            <w:r>
              <w:rPr>
                <w:spacing w:val="-9"/>
                <w:sz w:val="18"/>
                <w:szCs w:val="18"/>
              </w:rPr>
              <w:t xml:space="preserve"> </w:t>
            </w:r>
            <w:r>
              <w:rPr>
                <w:b/>
                <w:bCs/>
                <w:spacing w:val="-9"/>
                <w:sz w:val="18"/>
                <w:szCs w:val="18"/>
              </w:rPr>
              <w:t>违</w:t>
            </w:r>
            <w:r>
              <w:rPr>
                <w:spacing w:val="-9"/>
                <w:sz w:val="18"/>
                <w:szCs w:val="18"/>
              </w:rPr>
              <w:t xml:space="preserve"> </w:t>
            </w:r>
            <w:r>
              <w:rPr>
                <w:b/>
                <w:bCs/>
                <w:spacing w:val="-9"/>
                <w:sz w:val="18"/>
                <w:szCs w:val="18"/>
              </w:rPr>
              <w:t>法</w:t>
            </w:r>
            <w:r>
              <w:rPr>
                <w:spacing w:val="-9"/>
                <w:sz w:val="18"/>
                <w:szCs w:val="18"/>
              </w:rPr>
              <w:t xml:space="preserve"> </w:t>
            </w:r>
            <w:r>
              <w:rPr>
                <w:b/>
                <w:bCs/>
                <w:spacing w:val="-9"/>
                <w:sz w:val="18"/>
                <w:szCs w:val="18"/>
              </w:rPr>
              <w:t>行</w:t>
            </w:r>
            <w:r>
              <w:rPr>
                <w:spacing w:val="-9"/>
                <w:sz w:val="18"/>
                <w:szCs w:val="18"/>
              </w:rPr>
              <w:t xml:space="preserve"> </w:t>
            </w:r>
            <w:r>
              <w:rPr>
                <w:b/>
                <w:bCs/>
                <w:spacing w:val="-9"/>
                <w:sz w:val="18"/>
                <w:szCs w:val="18"/>
              </w:rPr>
              <w:t>为</w:t>
            </w:r>
            <w:r>
              <w:rPr>
                <w:sz w:val="18"/>
                <w:szCs w:val="18"/>
              </w:rPr>
              <w:t xml:space="preserve"> </w:t>
            </w:r>
            <w:r>
              <w:rPr>
                <w:b/>
                <w:bCs/>
                <w:spacing w:val="-4"/>
                <w:sz w:val="18"/>
                <w:szCs w:val="18"/>
              </w:rPr>
              <w:t>表现</w:t>
            </w:r>
          </w:p>
        </w:tc>
        <w:tc>
          <w:tcPr>
            <w:tcW w:w="4377" w:type="dxa"/>
            <w:vAlign w:val="top"/>
          </w:tcPr>
          <w:p>
            <w:pPr>
              <w:pStyle w:val="7"/>
              <w:spacing w:before="228" w:line="219" w:lineRule="auto"/>
              <w:ind w:left="1115"/>
              <w:jc w:val="left"/>
              <w:rPr>
                <w:sz w:val="18"/>
                <w:szCs w:val="18"/>
              </w:rPr>
            </w:pPr>
            <w:r>
              <w:rPr>
                <w:b/>
                <w:bCs/>
                <w:spacing w:val="-9"/>
                <w:sz w:val="18"/>
                <w:szCs w:val="18"/>
              </w:rPr>
              <w:t>法</w:t>
            </w:r>
            <w:r>
              <w:rPr>
                <w:spacing w:val="-9"/>
                <w:sz w:val="18"/>
                <w:szCs w:val="18"/>
              </w:rPr>
              <w:t xml:space="preserve"> </w:t>
            </w:r>
            <w:r>
              <w:rPr>
                <w:b/>
                <w:bCs/>
                <w:spacing w:val="-9"/>
                <w:sz w:val="18"/>
                <w:szCs w:val="18"/>
              </w:rPr>
              <w:t>律</w:t>
            </w:r>
            <w:r>
              <w:rPr>
                <w:spacing w:val="-11"/>
                <w:sz w:val="18"/>
                <w:szCs w:val="18"/>
              </w:rPr>
              <w:t xml:space="preserve"> </w:t>
            </w:r>
            <w:r>
              <w:rPr>
                <w:b/>
                <w:bCs/>
                <w:spacing w:val="-9"/>
                <w:sz w:val="18"/>
                <w:szCs w:val="18"/>
              </w:rPr>
              <w:t>依</w:t>
            </w:r>
            <w:r>
              <w:rPr>
                <w:spacing w:val="-12"/>
                <w:sz w:val="18"/>
                <w:szCs w:val="18"/>
              </w:rPr>
              <w:t xml:space="preserve"> </w:t>
            </w:r>
            <w:r>
              <w:rPr>
                <w:b/>
                <w:bCs/>
                <w:spacing w:val="-9"/>
                <w:sz w:val="18"/>
                <w:szCs w:val="18"/>
              </w:rPr>
              <w:t>据</w:t>
            </w:r>
            <w:r>
              <w:rPr>
                <w:spacing w:val="-13"/>
                <w:sz w:val="18"/>
                <w:szCs w:val="18"/>
              </w:rPr>
              <w:t xml:space="preserve"> </w:t>
            </w:r>
            <w:r>
              <w:rPr>
                <w:b/>
                <w:bCs/>
                <w:spacing w:val="-9"/>
                <w:sz w:val="18"/>
                <w:szCs w:val="18"/>
              </w:rPr>
              <w:t>及</w:t>
            </w:r>
            <w:r>
              <w:rPr>
                <w:spacing w:val="-11"/>
                <w:sz w:val="18"/>
                <w:szCs w:val="18"/>
              </w:rPr>
              <w:t xml:space="preserve"> </w:t>
            </w:r>
            <w:r>
              <w:rPr>
                <w:b/>
                <w:bCs/>
                <w:spacing w:val="-9"/>
                <w:sz w:val="18"/>
                <w:szCs w:val="18"/>
              </w:rPr>
              <w:t>违</w:t>
            </w:r>
            <w:r>
              <w:rPr>
                <w:spacing w:val="-11"/>
                <w:sz w:val="18"/>
                <w:szCs w:val="18"/>
              </w:rPr>
              <w:t xml:space="preserve"> </w:t>
            </w:r>
            <w:r>
              <w:rPr>
                <w:b/>
                <w:bCs/>
                <w:spacing w:val="-9"/>
                <w:sz w:val="18"/>
                <w:szCs w:val="18"/>
              </w:rPr>
              <w:t>法</w:t>
            </w:r>
            <w:r>
              <w:rPr>
                <w:spacing w:val="-9"/>
                <w:sz w:val="18"/>
                <w:szCs w:val="18"/>
              </w:rPr>
              <w:t xml:space="preserve"> </w:t>
            </w:r>
            <w:r>
              <w:rPr>
                <w:b/>
                <w:bCs/>
                <w:spacing w:val="-9"/>
                <w:sz w:val="18"/>
                <w:szCs w:val="18"/>
              </w:rPr>
              <w:t>责</w:t>
            </w:r>
            <w:r>
              <w:rPr>
                <w:spacing w:val="-13"/>
                <w:sz w:val="18"/>
                <w:szCs w:val="18"/>
              </w:rPr>
              <w:t xml:space="preserve"> </w:t>
            </w:r>
            <w:r>
              <w:rPr>
                <w:b/>
                <w:bCs/>
                <w:spacing w:val="-9"/>
                <w:sz w:val="18"/>
                <w:szCs w:val="18"/>
              </w:rPr>
              <w:t>任</w:t>
            </w:r>
          </w:p>
        </w:tc>
        <w:tc>
          <w:tcPr>
            <w:tcW w:w="1219" w:type="dxa"/>
            <w:vAlign w:val="top"/>
          </w:tcPr>
          <w:p>
            <w:pPr>
              <w:pStyle w:val="7"/>
              <w:spacing w:before="229" w:line="219" w:lineRule="auto"/>
              <w:ind w:left="148"/>
              <w:jc w:val="left"/>
              <w:rPr>
                <w:sz w:val="18"/>
                <w:szCs w:val="18"/>
              </w:rPr>
            </w:pPr>
            <w:r>
              <w:rPr>
                <w:b/>
                <w:bCs/>
                <w:spacing w:val="-4"/>
                <w:sz w:val="18"/>
                <w:szCs w:val="18"/>
              </w:rPr>
              <w:t>发生频率</w:t>
            </w:r>
          </w:p>
        </w:tc>
        <w:tc>
          <w:tcPr>
            <w:tcW w:w="3508" w:type="dxa"/>
            <w:vAlign w:val="top"/>
          </w:tcPr>
          <w:p>
            <w:pPr>
              <w:pStyle w:val="7"/>
              <w:spacing w:before="230" w:line="220" w:lineRule="auto"/>
              <w:ind w:left="1569"/>
              <w:jc w:val="left"/>
              <w:rPr>
                <w:sz w:val="18"/>
                <w:szCs w:val="18"/>
              </w:rPr>
            </w:pPr>
            <w:r>
              <w:rPr>
                <w:b/>
                <w:bCs/>
                <w:spacing w:val="-5"/>
                <w:sz w:val="18"/>
                <w:szCs w:val="18"/>
              </w:rPr>
              <w:t>建议</w:t>
            </w:r>
          </w:p>
        </w:tc>
        <w:tc>
          <w:tcPr>
            <w:tcW w:w="1765" w:type="dxa"/>
            <w:vAlign w:val="top"/>
          </w:tcPr>
          <w:p>
            <w:pPr>
              <w:pStyle w:val="7"/>
              <w:spacing w:before="29" w:line="219" w:lineRule="auto"/>
              <w:ind w:left="521"/>
              <w:jc w:val="left"/>
              <w:rPr>
                <w:sz w:val="18"/>
                <w:szCs w:val="18"/>
              </w:rPr>
            </w:pPr>
            <w:r>
              <w:rPr>
                <w:b/>
                <w:bCs/>
                <w:spacing w:val="1"/>
                <w:sz w:val="18"/>
                <w:szCs w:val="18"/>
              </w:rPr>
              <w:t>指导部门</w:t>
            </w:r>
          </w:p>
          <w:p>
            <w:pPr>
              <w:pStyle w:val="7"/>
              <w:spacing w:before="105" w:line="219" w:lineRule="auto"/>
              <w:ind w:left="231"/>
              <w:jc w:val="left"/>
              <w:rPr>
                <w:sz w:val="18"/>
                <w:szCs w:val="18"/>
              </w:rPr>
            </w:pPr>
            <w:r>
              <w:rPr>
                <w:b/>
                <w:bCs/>
                <w:spacing w:val="-13"/>
                <w:sz w:val="18"/>
                <w:szCs w:val="18"/>
              </w:rPr>
              <w:t>(</w:t>
            </w:r>
            <w:r>
              <w:rPr>
                <w:spacing w:val="-20"/>
                <w:sz w:val="18"/>
                <w:szCs w:val="18"/>
              </w:rPr>
              <w:t xml:space="preserve"> </w:t>
            </w:r>
            <w:r>
              <w:rPr>
                <w:b/>
                <w:bCs/>
                <w:spacing w:val="-13"/>
                <w:sz w:val="18"/>
                <w:szCs w:val="18"/>
              </w:rPr>
              <w:t>机</w:t>
            </w:r>
            <w:r>
              <w:rPr>
                <w:spacing w:val="-17"/>
                <w:sz w:val="18"/>
                <w:szCs w:val="18"/>
              </w:rPr>
              <w:t xml:space="preserve"> </w:t>
            </w:r>
            <w:r>
              <w:rPr>
                <w:b/>
                <w:bCs/>
                <w:spacing w:val="-13"/>
                <w:sz w:val="18"/>
                <w:szCs w:val="18"/>
              </w:rPr>
              <w:t>构</w:t>
            </w:r>
            <w:r>
              <w:rPr>
                <w:spacing w:val="-20"/>
                <w:sz w:val="18"/>
                <w:szCs w:val="18"/>
              </w:rPr>
              <w:t xml:space="preserve"> </w:t>
            </w:r>
            <w:r>
              <w:rPr>
                <w:b/>
                <w:bCs/>
                <w:spacing w:val="-13"/>
                <w:sz w:val="18"/>
                <w:szCs w:val="18"/>
              </w:rPr>
              <w:t>/</w:t>
            </w:r>
            <w:r>
              <w:rPr>
                <w:spacing w:val="-20"/>
                <w:sz w:val="18"/>
                <w:szCs w:val="18"/>
              </w:rPr>
              <w:t xml:space="preserve"> </w:t>
            </w:r>
            <w:r>
              <w:rPr>
                <w:b/>
                <w:bCs/>
                <w:spacing w:val="-13"/>
                <w:sz w:val="18"/>
                <w:szCs w:val="18"/>
              </w:rPr>
              <w:t>科</w:t>
            </w:r>
            <w:r>
              <w:rPr>
                <w:spacing w:val="-16"/>
                <w:sz w:val="18"/>
                <w:szCs w:val="18"/>
              </w:rPr>
              <w:t xml:space="preserve"> </w:t>
            </w:r>
            <w:r>
              <w:rPr>
                <w:b/>
                <w:bCs/>
                <w:spacing w:val="-13"/>
                <w:sz w:val="18"/>
                <w:szCs w:val="18"/>
              </w:rPr>
              <w:t>室</w:t>
            </w:r>
            <w:r>
              <w:rPr>
                <w:spacing w:val="-19"/>
                <w:sz w:val="18"/>
                <w:szCs w:val="18"/>
              </w:rPr>
              <w:t xml:space="preserve"> </w:t>
            </w:r>
            <w:r>
              <w:rPr>
                <w:b/>
                <w:bCs/>
                <w:spacing w:val="-1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6" w:hRule="atLeast"/>
        </w:trPr>
        <w:tc>
          <w:tcPr>
            <w:tcW w:w="814" w:type="dxa"/>
            <w:vAlign w:val="top"/>
          </w:tcPr>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pStyle w:val="7"/>
              <w:spacing w:before="58"/>
              <w:ind w:left="357"/>
              <w:jc w:val="left"/>
              <w:rPr>
                <w:sz w:val="18"/>
                <w:szCs w:val="18"/>
              </w:rPr>
            </w:pPr>
            <w:r>
              <w:rPr>
                <w:b/>
                <w:bCs/>
                <w:spacing w:val="-2"/>
                <w:sz w:val="18"/>
                <w:szCs w:val="18"/>
              </w:rPr>
              <w:t>6</w:t>
            </w:r>
          </w:p>
        </w:tc>
        <w:tc>
          <w:tcPr>
            <w:tcW w:w="1699" w:type="dxa"/>
            <w:vAlign w:val="top"/>
          </w:tcPr>
          <w:p>
            <w:pPr>
              <w:spacing w:line="254" w:lineRule="auto"/>
              <w:jc w:val="left"/>
              <w:rPr>
                <w:rFonts w:hint="eastAsia" w:asciiTheme="minorEastAsia" w:hAnsiTheme="minorEastAsia" w:eastAsiaTheme="minorEastAsia" w:cstheme="minorEastAsia"/>
                <w:b w:val="0"/>
                <w:bCs w:val="0"/>
                <w:sz w:val="18"/>
                <w:szCs w:val="18"/>
              </w:rPr>
            </w:pPr>
          </w:p>
          <w:p>
            <w:pPr>
              <w:spacing w:line="254" w:lineRule="auto"/>
              <w:jc w:val="left"/>
              <w:rPr>
                <w:rFonts w:hint="eastAsia" w:asciiTheme="minorEastAsia" w:hAnsiTheme="minorEastAsia" w:eastAsiaTheme="minorEastAsia" w:cstheme="minorEastAsia"/>
                <w:b w:val="0"/>
                <w:bCs w:val="0"/>
                <w:sz w:val="18"/>
                <w:szCs w:val="18"/>
              </w:rPr>
            </w:pPr>
          </w:p>
          <w:p>
            <w:pPr>
              <w:spacing w:line="254" w:lineRule="auto"/>
              <w:jc w:val="left"/>
              <w:rPr>
                <w:rFonts w:hint="eastAsia" w:asciiTheme="minorEastAsia" w:hAnsiTheme="minorEastAsia" w:eastAsiaTheme="minorEastAsia" w:cstheme="minorEastAsia"/>
                <w:b w:val="0"/>
                <w:bCs w:val="0"/>
                <w:sz w:val="18"/>
                <w:szCs w:val="18"/>
              </w:rPr>
            </w:pPr>
          </w:p>
          <w:p>
            <w:pPr>
              <w:spacing w:line="254" w:lineRule="auto"/>
              <w:jc w:val="left"/>
              <w:rPr>
                <w:rFonts w:hint="eastAsia" w:asciiTheme="minorEastAsia" w:hAnsiTheme="minorEastAsia" w:eastAsiaTheme="minorEastAsia" w:cstheme="minorEastAsia"/>
                <w:b w:val="0"/>
                <w:bCs w:val="0"/>
                <w:sz w:val="18"/>
                <w:szCs w:val="18"/>
              </w:rPr>
            </w:pPr>
          </w:p>
          <w:p>
            <w:pPr>
              <w:spacing w:line="254" w:lineRule="auto"/>
              <w:jc w:val="left"/>
              <w:rPr>
                <w:rFonts w:hint="eastAsia" w:asciiTheme="minorEastAsia" w:hAnsiTheme="minorEastAsia" w:eastAsiaTheme="minorEastAsia" w:cstheme="minorEastAsia"/>
                <w:b w:val="0"/>
                <w:bCs w:val="0"/>
                <w:sz w:val="18"/>
                <w:szCs w:val="18"/>
              </w:rPr>
            </w:pPr>
          </w:p>
          <w:p>
            <w:pPr>
              <w:spacing w:line="254"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spacing w:line="255" w:lineRule="auto"/>
              <w:jc w:val="left"/>
              <w:rPr>
                <w:rFonts w:hint="eastAsia" w:asciiTheme="minorEastAsia" w:hAnsiTheme="minorEastAsia" w:eastAsiaTheme="minorEastAsia" w:cstheme="minorEastAsia"/>
                <w:b w:val="0"/>
                <w:bCs w:val="0"/>
                <w:sz w:val="18"/>
                <w:szCs w:val="18"/>
              </w:rPr>
            </w:pPr>
          </w:p>
          <w:p>
            <w:pPr>
              <w:pStyle w:val="7"/>
              <w:spacing w:before="58" w:line="219" w:lineRule="auto"/>
              <w:ind w:left="303"/>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粮食流通管理</w:t>
            </w:r>
          </w:p>
        </w:tc>
        <w:tc>
          <w:tcPr>
            <w:tcW w:w="1689" w:type="dxa"/>
            <w:vAlign w:val="top"/>
          </w:tcPr>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3" w:lineRule="auto"/>
              <w:jc w:val="left"/>
              <w:rPr>
                <w:rFonts w:hint="eastAsia" w:asciiTheme="minorEastAsia" w:hAnsiTheme="minorEastAsia" w:eastAsiaTheme="minorEastAsia" w:cstheme="minorEastAsia"/>
                <w:b w:val="0"/>
                <w:bCs w:val="0"/>
                <w:sz w:val="18"/>
                <w:szCs w:val="18"/>
              </w:rPr>
            </w:pPr>
          </w:p>
          <w:p>
            <w:pPr>
              <w:spacing w:line="244" w:lineRule="auto"/>
              <w:jc w:val="left"/>
              <w:rPr>
                <w:rFonts w:hint="eastAsia" w:asciiTheme="minorEastAsia" w:hAnsiTheme="minorEastAsia" w:eastAsiaTheme="minorEastAsia" w:cstheme="minorEastAsia"/>
                <w:b w:val="0"/>
                <w:bCs w:val="0"/>
                <w:sz w:val="18"/>
                <w:szCs w:val="18"/>
              </w:rPr>
            </w:pPr>
          </w:p>
          <w:p>
            <w:pPr>
              <w:spacing w:line="244" w:lineRule="auto"/>
              <w:jc w:val="left"/>
              <w:rPr>
                <w:rFonts w:hint="eastAsia" w:asciiTheme="minorEastAsia" w:hAnsiTheme="minorEastAsia" w:eastAsiaTheme="minorEastAsia" w:cstheme="minorEastAsia"/>
                <w:b w:val="0"/>
                <w:bCs w:val="0"/>
                <w:sz w:val="18"/>
                <w:szCs w:val="18"/>
              </w:rPr>
            </w:pPr>
          </w:p>
          <w:p>
            <w:pPr>
              <w:pStyle w:val="7"/>
              <w:spacing w:before="59" w:line="320" w:lineRule="auto"/>
              <w:ind w:left="114" w:right="121"/>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粮食收购者未执行</w:t>
            </w:r>
            <w:r>
              <w:rPr>
                <w:rFonts w:hint="eastAsia" w:asciiTheme="minorEastAsia" w:hAnsiTheme="minorEastAsia" w:eastAsiaTheme="minorEastAsia" w:cstheme="minorEastAsia"/>
                <w:b w:val="0"/>
                <w:bCs w:val="0"/>
                <w:sz w:val="18"/>
                <w:szCs w:val="18"/>
              </w:rPr>
              <w:t xml:space="preserve"> </w:t>
            </w:r>
            <w:r>
              <w:rPr>
                <w:rFonts w:hint="eastAsia" w:asciiTheme="minorEastAsia" w:hAnsiTheme="minorEastAsia" w:eastAsiaTheme="minorEastAsia" w:cstheme="minorEastAsia"/>
                <w:b w:val="0"/>
                <w:bCs w:val="0"/>
                <w:spacing w:val="-2"/>
                <w:sz w:val="18"/>
                <w:szCs w:val="18"/>
              </w:rPr>
              <w:t>国家粮食质量标准</w:t>
            </w:r>
          </w:p>
        </w:tc>
        <w:tc>
          <w:tcPr>
            <w:tcW w:w="4377" w:type="dxa"/>
            <w:vAlign w:val="top"/>
          </w:tcPr>
          <w:p>
            <w:pPr>
              <w:pStyle w:val="7"/>
              <w:spacing w:before="58" w:line="310" w:lineRule="auto"/>
              <w:ind w:right="6"/>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【法规】《粮食流通管理条例》(2004年</w:t>
            </w:r>
            <w:r>
              <w:rPr>
                <w:rFonts w:hint="eastAsia" w:asciiTheme="minorEastAsia" w:hAnsiTheme="minorEastAsia" w:eastAsiaTheme="minorEastAsia" w:cstheme="minorEastAsia"/>
                <w:b w:val="0"/>
                <w:bCs w:val="0"/>
                <w:spacing w:val="-5"/>
                <w:sz w:val="18"/>
                <w:szCs w:val="18"/>
              </w:rPr>
              <w:t>国务院令第407</w:t>
            </w:r>
            <w:r>
              <w:rPr>
                <w:rFonts w:hint="eastAsia" w:asciiTheme="minorEastAsia" w:hAnsiTheme="minorEastAsia" w:eastAsiaTheme="minorEastAsia" w:cstheme="minorEastAsia"/>
                <w:b w:val="0"/>
                <w:bCs w:val="0"/>
                <w:sz w:val="18"/>
                <w:szCs w:val="18"/>
              </w:rPr>
              <w:t xml:space="preserve"> 号，2021年第三次修订)</w:t>
            </w:r>
          </w:p>
          <w:p>
            <w:pPr>
              <w:pStyle w:val="7"/>
              <w:spacing w:before="16" w:line="320" w:lineRule="auto"/>
              <w:ind w:left="115"/>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8"/>
                <w:sz w:val="18"/>
                <w:szCs w:val="18"/>
              </w:rPr>
              <w:t>第四十五条</w:t>
            </w:r>
            <w:r>
              <w:rPr>
                <w:rFonts w:hint="eastAsia" w:asciiTheme="minorEastAsia" w:hAnsiTheme="minorEastAsia" w:eastAsiaTheme="minorEastAsia" w:cstheme="minorEastAsia"/>
                <w:b w:val="0"/>
                <w:bCs w:val="0"/>
                <w:spacing w:val="-8"/>
                <w:sz w:val="18"/>
                <w:szCs w:val="18"/>
                <w:lang w:val="en-US" w:eastAsia="zh-CN"/>
              </w:rPr>
              <w:t xml:space="preserve">  </w:t>
            </w:r>
            <w:r>
              <w:rPr>
                <w:rFonts w:hint="eastAsia" w:asciiTheme="minorEastAsia" w:hAnsiTheme="minorEastAsia" w:eastAsiaTheme="minorEastAsia" w:cstheme="minorEastAsia"/>
                <w:b w:val="0"/>
                <w:bCs w:val="0"/>
                <w:spacing w:val="-8"/>
                <w:sz w:val="18"/>
                <w:szCs w:val="18"/>
              </w:rPr>
              <w:t>“有下列情形之一的，由粮食和储备行</w:t>
            </w:r>
            <w:r>
              <w:rPr>
                <w:rFonts w:hint="eastAsia" w:asciiTheme="minorEastAsia" w:hAnsiTheme="minorEastAsia" w:eastAsiaTheme="minorEastAsia" w:cstheme="minorEastAsia"/>
                <w:b w:val="0"/>
                <w:bCs w:val="0"/>
                <w:spacing w:val="-9"/>
                <w:sz w:val="18"/>
                <w:szCs w:val="18"/>
              </w:rPr>
              <w:t>政管</w:t>
            </w:r>
            <w:r>
              <w:rPr>
                <w:rFonts w:hint="eastAsia" w:asciiTheme="minorEastAsia" w:hAnsiTheme="minorEastAsia" w:eastAsiaTheme="minorEastAsia" w:cstheme="minorEastAsia"/>
                <w:b w:val="0"/>
                <w:bCs w:val="0"/>
                <w:sz w:val="18"/>
                <w:szCs w:val="18"/>
              </w:rPr>
              <w:t xml:space="preserve">  </w:t>
            </w:r>
            <w:r>
              <w:rPr>
                <w:rFonts w:hint="eastAsia" w:asciiTheme="minorEastAsia" w:hAnsiTheme="minorEastAsia" w:eastAsiaTheme="minorEastAsia" w:cstheme="minorEastAsia"/>
                <w:b w:val="0"/>
                <w:bCs w:val="0"/>
                <w:spacing w:val="-12"/>
                <w:sz w:val="18"/>
                <w:szCs w:val="18"/>
              </w:rPr>
              <w:t>理部门责令改正，给予警告，可以并处20万元以下罚款；</w:t>
            </w:r>
            <w:r>
              <w:rPr>
                <w:rFonts w:hint="eastAsia" w:asciiTheme="minorEastAsia" w:hAnsiTheme="minorEastAsia" w:eastAsiaTheme="minorEastAsia" w:cstheme="minorEastAsia"/>
                <w:b w:val="0"/>
                <w:bCs w:val="0"/>
                <w:spacing w:val="13"/>
                <w:sz w:val="18"/>
                <w:szCs w:val="18"/>
              </w:rPr>
              <w:t xml:space="preserve"> </w:t>
            </w:r>
            <w:r>
              <w:rPr>
                <w:rFonts w:hint="eastAsia" w:asciiTheme="minorEastAsia" w:hAnsiTheme="minorEastAsia" w:eastAsiaTheme="minorEastAsia" w:cstheme="minorEastAsia"/>
                <w:b w:val="0"/>
                <w:bCs w:val="0"/>
                <w:spacing w:val="-7"/>
                <w:sz w:val="18"/>
                <w:szCs w:val="18"/>
              </w:rPr>
              <w:t>情节严重的，并处20万元以上50万元以下罚款”“(一)</w:t>
            </w:r>
            <w:r>
              <w:rPr>
                <w:rFonts w:hint="eastAsia" w:asciiTheme="minorEastAsia" w:hAnsiTheme="minorEastAsia" w:eastAsiaTheme="minorEastAsia" w:cstheme="minorEastAsia"/>
                <w:b w:val="0"/>
                <w:bCs w:val="0"/>
                <w:spacing w:val="9"/>
                <w:sz w:val="18"/>
                <w:szCs w:val="18"/>
              </w:rPr>
              <w:t xml:space="preserve">  </w:t>
            </w:r>
            <w:r>
              <w:rPr>
                <w:rFonts w:hint="eastAsia" w:asciiTheme="minorEastAsia" w:hAnsiTheme="minorEastAsia" w:eastAsiaTheme="minorEastAsia" w:cstheme="minorEastAsia"/>
                <w:b w:val="0"/>
                <w:bCs w:val="0"/>
                <w:spacing w:val="-6"/>
                <w:sz w:val="18"/>
                <w:szCs w:val="18"/>
              </w:rPr>
              <w:t>粮食收购者未执行国家粮食质量标准”。</w:t>
            </w:r>
          </w:p>
          <w:p>
            <w:pPr>
              <w:pStyle w:val="7"/>
              <w:spacing w:before="3" w:line="318" w:lineRule="auto"/>
              <w:ind w:left="105" w:firstLine="1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第五十一条</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从事粮食经营活动的企业有违反本条例规</w:t>
            </w:r>
            <w:r>
              <w:rPr>
                <w:rFonts w:hint="eastAsia" w:asciiTheme="minorEastAsia" w:hAnsiTheme="minorEastAsia" w:eastAsiaTheme="minorEastAsia" w:cstheme="minorEastAsia"/>
                <w:b w:val="0"/>
                <w:bCs w:val="0"/>
                <w:spacing w:val="15"/>
                <w:sz w:val="18"/>
                <w:szCs w:val="18"/>
              </w:rPr>
              <w:t xml:space="preserve"> </w:t>
            </w:r>
            <w:r>
              <w:rPr>
                <w:rFonts w:hint="eastAsia" w:asciiTheme="minorEastAsia" w:hAnsiTheme="minorEastAsia" w:eastAsiaTheme="minorEastAsia" w:cstheme="minorEastAsia"/>
                <w:b w:val="0"/>
                <w:bCs w:val="0"/>
                <w:spacing w:val="-12"/>
                <w:sz w:val="18"/>
                <w:szCs w:val="18"/>
              </w:rPr>
              <w:t>定的违法情形且情节严重的，对其法定代表人、主要负责</w:t>
            </w:r>
            <w:r>
              <w:rPr>
                <w:rFonts w:hint="eastAsia" w:asciiTheme="minorEastAsia" w:hAnsiTheme="minorEastAsia" w:eastAsiaTheme="minorEastAsia" w:cstheme="minorEastAsia"/>
                <w:b w:val="0"/>
                <w:bCs w:val="0"/>
                <w:spacing w:val="13"/>
                <w:sz w:val="18"/>
                <w:szCs w:val="18"/>
              </w:rPr>
              <w:t xml:space="preserve"> </w:t>
            </w:r>
            <w:r>
              <w:rPr>
                <w:rFonts w:hint="eastAsia" w:asciiTheme="minorEastAsia" w:hAnsiTheme="minorEastAsia" w:eastAsiaTheme="minorEastAsia" w:cstheme="minorEastAsia"/>
                <w:b w:val="0"/>
                <w:bCs w:val="0"/>
                <w:spacing w:val="-12"/>
                <w:sz w:val="18"/>
                <w:szCs w:val="18"/>
              </w:rPr>
              <w:t>人、直接负责的主管人员和其他直接责任人员处以其上一</w:t>
            </w:r>
            <w:r>
              <w:rPr>
                <w:rFonts w:hint="eastAsia" w:asciiTheme="minorEastAsia" w:hAnsiTheme="minorEastAsia" w:eastAsiaTheme="minorEastAsia" w:cstheme="minorEastAsia"/>
                <w:b w:val="0"/>
                <w:bCs w:val="0"/>
                <w:spacing w:val="11"/>
                <w:sz w:val="18"/>
                <w:szCs w:val="18"/>
              </w:rPr>
              <w:t xml:space="preserve"> </w:t>
            </w:r>
            <w:r>
              <w:rPr>
                <w:rFonts w:hint="eastAsia" w:asciiTheme="minorEastAsia" w:hAnsiTheme="minorEastAsia" w:eastAsiaTheme="minorEastAsia" w:cstheme="minorEastAsia"/>
                <w:b w:val="0"/>
                <w:bCs w:val="0"/>
                <w:spacing w:val="-2"/>
                <w:sz w:val="18"/>
                <w:szCs w:val="18"/>
              </w:rPr>
              <w:t>年度从本企业取得收入的1倍以上10倍以下罚款。</w:t>
            </w:r>
          </w:p>
          <w:p>
            <w:pPr>
              <w:pStyle w:val="7"/>
              <w:spacing w:before="58" w:line="310" w:lineRule="auto"/>
              <w:ind w:left="115" w:right="6" w:hanging="10"/>
              <w:jc w:val="left"/>
              <w:rPr>
                <w:rFonts w:hint="eastAsia" w:asciiTheme="minorEastAsia" w:hAnsiTheme="minorEastAsia" w:eastAsiaTheme="minorEastAsia" w:cstheme="minorEastAsia"/>
                <w:b w:val="0"/>
                <w:bCs w:val="0"/>
                <w:spacing w:val="-4"/>
                <w:sz w:val="18"/>
                <w:szCs w:val="18"/>
              </w:rPr>
            </w:pPr>
            <w:r>
              <w:rPr>
                <w:rFonts w:hint="eastAsia" w:asciiTheme="minorEastAsia" w:hAnsiTheme="minorEastAsia" w:eastAsiaTheme="minorEastAsia" w:cstheme="minorEastAsia"/>
                <w:b w:val="0"/>
                <w:bCs w:val="0"/>
                <w:spacing w:val="-4"/>
                <w:sz w:val="18"/>
                <w:szCs w:val="18"/>
              </w:rPr>
              <w:fldChar w:fldCharType="begin"/>
            </w:r>
            <w:r>
              <w:rPr>
                <w:rFonts w:hint="eastAsia" w:asciiTheme="minorEastAsia" w:hAnsiTheme="minorEastAsia" w:eastAsiaTheme="minorEastAsia" w:cstheme="minorEastAsia"/>
                <w:b w:val="0"/>
                <w:bCs w:val="0"/>
                <w:spacing w:val="-4"/>
                <w:sz w:val="18"/>
                <w:szCs w:val="18"/>
              </w:rPr>
              <w:instrText xml:space="preserve"> HYPERLINK "https://www.waizi.org.cn/doc/138071.html" </w:instrText>
            </w:r>
            <w:r>
              <w:rPr>
                <w:rFonts w:hint="eastAsia" w:asciiTheme="minorEastAsia" w:hAnsiTheme="minorEastAsia" w:eastAsiaTheme="minorEastAsia" w:cstheme="minorEastAsia"/>
                <w:b w:val="0"/>
                <w:bCs w:val="0"/>
                <w:spacing w:val="-4"/>
                <w:sz w:val="18"/>
                <w:szCs w:val="18"/>
              </w:rPr>
              <w:fldChar w:fldCharType="separate"/>
            </w:r>
            <w:r>
              <w:rPr>
                <w:rFonts w:hint="eastAsia" w:asciiTheme="minorEastAsia" w:hAnsiTheme="minorEastAsia" w:eastAsiaTheme="minorEastAsia" w:cstheme="minorEastAsia"/>
                <w:b w:val="0"/>
                <w:bCs w:val="0"/>
                <w:spacing w:val="-4"/>
                <w:sz w:val="18"/>
                <w:szCs w:val="18"/>
              </w:rPr>
              <w:t>《粮食流通行政执法办法》国家发展和改革委员会令2022年第53号（全文）</w:t>
            </w:r>
            <w:r>
              <w:rPr>
                <w:rFonts w:hint="eastAsia" w:asciiTheme="minorEastAsia" w:hAnsiTheme="minorEastAsia" w:eastAsiaTheme="minorEastAsia" w:cstheme="minorEastAsia"/>
                <w:b w:val="0"/>
                <w:bCs w:val="0"/>
                <w:spacing w:val="-4"/>
                <w:sz w:val="18"/>
                <w:szCs w:val="18"/>
              </w:rPr>
              <w:fldChar w:fldCharType="end"/>
            </w:r>
          </w:p>
          <w:p>
            <w:pPr>
              <w:pStyle w:val="7"/>
              <w:spacing w:before="58" w:line="310" w:lineRule="auto"/>
              <w:ind w:left="115" w:right="6" w:hanging="10"/>
              <w:jc w:val="left"/>
              <w:rPr>
                <w:rFonts w:hint="eastAsia" w:asciiTheme="minorEastAsia" w:hAnsiTheme="minorEastAsia" w:eastAsiaTheme="minorEastAsia" w:cstheme="minorEastAsia"/>
                <w:b w:val="0"/>
                <w:bCs w:val="0"/>
                <w:spacing w:val="-4"/>
                <w:sz w:val="18"/>
                <w:szCs w:val="18"/>
              </w:rPr>
            </w:pPr>
            <w:r>
              <w:rPr>
                <w:rFonts w:hint="eastAsia" w:asciiTheme="minorEastAsia" w:hAnsiTheme="minorEastAsia" w:eastAsiaTheme="minorEastAsia" w:cstheme="minorEastAsia"/>
                <w:b w:val="0"/>
                <w:bCs w:val="0"/>
                <w:spacing w:val="-4"/>
                <w:sz w:val="18"/>
                <w:szCs w:val="18"/>
              </w:rPr>
              <w:t>第六条</w:t>
            </w:r>
            <w:r>
              <w:rPr>
                <w:rFonts w:hint="eastAsia" w:asciiTheme="minorEastAsia" w:hAnsiTheme="minorEastAsia" w:eastAsiaTheme="minorEastAsia" w:cstheme="minorEastAsia"/>
                <w:b w:val="0"/>
                <w:bCs w:val="0"/>
                <w:spacing w:val="-4"/>
                <w:sz w:val="18"/>
                <w:szCs w:val="18"/>
                <w:lang w:val="en-US" w:eastAsia="zh-CN"/>
              </w:rPr>
              <w:t xml:space="preserve">  </w:t>
            </w:r>
            <w:r>
              <w:rPr>
                <w:rFonts w:hint="eastAsia" w:asciiTheme="minorEastAsia" w:hAnsiTheme="minorEastAsia" w:eastAsiaTheme="minorEastAsia" w:cstheme="minorEastAsia"/>
                <w:b w:val="0"/>
                <w:bCs w:val="0"/>
                <w:spacing w:val="-4"/>
                <w:sz w:val="18"/>
                <w:szCs w:val="18"/>
              </w:rPr>
              <w:t>粮食流通行政执法过程中，可以行使以下职权：（五）查封、扣押非法收购或者不符合国家粮食质量安全标准的粮食，用于违法经营或者被污染的工具、设备以及有关账簿资料；</w:t>
            </w:r>
          </w:p>
          <w:p>
            <w:pPr>
              <w:pStyle w:val="7"/>
              <w:numPr>
                <w:ilvl w:val="0"/>
                <w:numId w:val="0"/>
              </w:numPr>
              <w:spacing w:before="58" w:line="310" w:lineRule="auto"/>
              <w:ind w:left="115" w:leftChars="0" w:right="6" w:rightChars="0" w:hanging="10" w:firstLineChars="0"/>
              <w:jc w:val="left"/>
              <w:rPr>
                <w:rFonts w:hint="eastAsia" w:asciiTheme="minorEastAsia" w:hAnsiTheme="minorEastAsia" w:eastAsiaTheme="minorEastAsia" w:cstheme="minorEastAsia"/>
                <w:b w:val="0"/>
                <w:bCs w:val="0"/>
                <w:spacing w:val="-4"/>
                <w:sz w:val="18"/>
                <w:szCs w:val="18"/>
              </w:rPr>
            </w:pPr>
            <w:r>
              <w:rPr>
                <w:rFonts w:hint="eastAsia" w:asciiTheme="minorEastAsia" w:hAnsiTheme="minorEastAsia" w:eastAsiaTheme="minorEastAsia" w:cstheme="minorEastAsia"/>
                <w:b w:val="0"/>
                <w:bCs w:val="0"/>
                <w:snapToGrid w:val="0"/>
                <w:color w:val="000000"/>
                <w:spacing w:val="-4"/>
                <w:kern w:val="0"/>
                <w:sz w:val="18"/>
                <w:szCs w:val="18"/>
                <w:lang w:val="en-US" w:eastAsia="en-US" w:bidi="ar-SA"/>
              </w:rPr>
              <w:t>第十三条</w:t>
            </w:r>
            <w:r>
              <w:rPr>
                <w:rFonts w:hint="eastAsia" w:asciiTheme="minorEastAsia" w:hAnsiTheme="minorEastAsia" w:eastAsiaTheme="minorEastAsia" w:cstheme="minorEastAsia"/>
                <w:b w:val="0"/>
                <w:bCs w:val="0"/>
                <w:snapToGrid w:val="0"/>
                <w:color w:val="000000"/>
                <w:spacing w:val="-4"/>
                <w:kern w:val="0"/>
                <w:sz w:val="18"/>
                <w:szCs w:val="18"/>
                <w:lang w:val="en-US" w:eastAsia="zh-CN" w:bidi="ar-SA"/>
              </w:rPr>
              <w:t xml:space="preserve">  </w:t>
            </w:r>
            <w:r>
              <w:rPr>
                <w:rFonts w:hint="eastAsia" w:asciiTheme="minorEastAsia" w:hAnsiTheme="minorEastAsia" w:eastAsiaTheme="minorEastAsia" w:cstheme="minorEastAsia"/>
                <w:b w:val="0"/>
                <w:bCs w:val="0"/>
                <w:spacing w:val="-4"/>
                <w:sz w:val="18"/>
                <w:szCs w:val="18"/>
              </w:rPr>
              <w:t>粮食经营者存在下列情形之一的，属于第十二条 规定的应当立案调查的违法违规行为</w:t>
            </w:r>
            <w:r>
              <w:rPr>
                <w:rFonts w:hint="eastAsia" w:asciiTheme="minorEastAsia" w:hAnsiTheme="minorEastAsia" w:eastAsiaTheme="minorEastAsia" w:cstheme="minorEastAsia"/>
                <w:b w:val="0"/>
                <w:bCs w:val="0"/>
                <w:spacing w:val="-4"/>
                <w:sz w:val="18"/>
                <w:szCs w:val="18"/>
                <w:lang w:eastAsia="zh-CN"/>
              </w:rPr>
              <w:t>：</w:t>
            </w:r>
            <w:r>
              <w:rPr>
                <w:rFonts w:hint="eastAsia" w:asciiTheme="minorEastAsia" w:hAnsiTheme="minorEastAsia" w:eastAsiaTheme="minorEastAsia" w:cstheme="minorEastAsia"/>
                <w:b w:val="0"/>
                <w:bCs w:val="0"/>
                <w:spacing w:val="-4"/>
                <w:sz w:val="18"/>
                <w:szCs w:val="18"/>
              </w:rPr>
              <w:t>（四）粮食收购者未执行国家粮食质量标准，涉及粮食数量 较大；</w:t>
            </w:r>
          </w:p>
          <w:p>
            <w:pPr>
              <w:pStyle w:val="7"/>
              <w:spacing w:before="6" w:line="321" w:lineRule="auto"/>
              <w:ind w:left="114" w:hanging="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第十五条</w:t>
            </w:r>
            <w:r>
              <w:rPr>
                <w:rFonts w:hint="eastAsia" w:asciiTheme="minorEastAsia" w:hAnsiTheme="minorEastAsia" w:eastAsiaTheme="minorEastAsia" w:cstheme="minorEastAsia"/>
                <w:b w:val="0"/>
                <w:bCs w:val="0"/>
                <w:spacing w:val="-4"/>
                <w:sz w:val="18"/>
                <w:szCs w:val="18"/>
                <w:lang w:val="en-US" w:eastAsia="zh-CN"/>
              </w:rPr>
              <w:t xml:space="preserve">  </w:t>
            </w:r>
            <w:r>
              <w:rPr>
                <w:rFonts w:hint="eastAsia" w:asciiTheme="minorEastAsia" w:hAnsiTheme="minorEastAsia" w:eastAsiaTheme="minorEastAsia" w:cstheme="minorEastAsia"/>
                <w:b w:val="0"/>
                <w:bCs w:val="0"/>
                <w:spacing w:val="-4"/>
                <w:sz w:val="18"/>
                <w:szCs w:val="18"/>
              </w:rPr>
              <w:t>应当立案调查的，立案决定应于发现涉嫌违法违规行为之日起十五个工作日内，经粮食和储备部门负责人批准后作出。</w:t>
            </w:r>
          </w:p>
        </w:tc>
        <w:tc>
          <w:tcPr>
            <w:tcW w:w="1219" w:type="dxa"/>
            <w:vAlign w:val="top"/>
          </w:tcPr>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pacing w:val="-2"/>
                <w:sz w:val="14"/>
                <w:szCs w:val="14"/>
              </w:rPr>
              <w:t>★</w:t>
            </w:r>
          </w:p>
        </w:tc>
        <w:tc>
          <w:tcPr>
            <w:tcW w:w="3508" w:type="dxa"/>
            <w:vAlign w:val="top"/>
          </w:tcPr>
          <w:p>
            <w:pPr>
              <w:spacing w:line="314" w:lineRule="auto"/>
              <w:jc w:val="left"/>
              <w:rPr>
                <w:rFonts w:hint="eastAsia" w:asciiTheme="minorEastAsia" w:hAnsiTheme="minorEastAsia" w:eastAsiaTheme="minorEastAsia" w:cstheme="minorEastAsia"/>
                <w:b w:val="0"/>
                <w:bCs w:val="0"/>
                <w:sz w:val="18"/>
                <w:szCs w:val="18"/>
              </w:rPr>
            </w:pPr>
          </w:p>
          <w:p>
            <w:pPr>
              <w:pStyle w:val="7"/>
              <w:spacing w:before="58" w:line="304" w:lineRule="auto"/>
              <w:ind w:left="89" w:firstLine="3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2"/>
                <w:sz w:val="18"/>
                <w:szCs w:val="18"/>
              </w:rPr>
              <w:t>1.强化收购主体责任落，严格执行检验制</w:t>
            </w:r>
            <w:r>
              <w:rPr>
                <w:rFonts w:hint="eastAsia" w:asciiTheme="minorEastAsia" w:hAnsiTheme="minorEastAsia" w:eastAsiaTheme="minorEastAsia" w:cstheme="minorEastAsia"/>
                <w:b w:val="0"/>
                <w:bCs w:val="0"/>
                <w:spacing w:val="2"/>
                <w:sz w:val="18"/>
                <w:szCs w:val="18"/>
              </w:rPr>
              <w:t xml:space="preserve">  </w:t>
            </w:r>
            <w:r>
              <w:rPr>
                <w:rFonts w:hint="eastAsia" w:asciiTheme="minorEastAsia" w:hAnsiTheme="minorEastAsia" w:eastAsiaTheme="minorEastAsia" w:cstheme="minorEastAsia"/>
                <w:b w:val="0"/>
                <w:bCs w:val="0"/>
                <w:spacing w:val="-1"/>
                <w:sz w:val="18"/>
                <w:szCs w:val="18"/>
              </w:rPr>
              <w:t>度，要求收购企业配备专业质检人员，按</w:t>
            </w:r>
            <w:r>
              <w:rPr>
                <w:rFonts w:hint="eastAsia" w:asciiTheme="minorEastAsia" w:hAnsiTheme="minorEastAsia" w:eastAsiaTheme="minorEastAsia" w:cstheme="minorEastAsia"/>
                <w:b w:val="0"/>
                <w:bCs w:val="0"/>
                <w:spacing w:val="5"/>
                <w:sz w:val="18"/>
                <w:szCs w:val="18"/>
              </w:rPr>
              <w:t xml:space="preserve">  </w:t>
            </w:r>
            <w:r>
              <w:rPr>
                <w:rFonts w:hint="eastAsia" w:asciiTheme="minorEastAsia" w:hAnsiTheme="minorEastAsia" w:eastAsiaTheme="minorEastAsia" w:cstheme="minorEastAsia"/>
                <w:b w:val="0"/>
                <w:bCs w:val="0"/>
                <w:spacing w:val="-3"/>
                <w:sz w:val="18"/>
                <w:szCs w:val="18"/>
              </w:rPr>
              <w:t>照《粮食质量安全监管办法》第四条要求，</w:t>
            </w:r>
            <w:r>
              <w:rPr>
                <w:rFonts w:hint="eastAsia" w:asciiTheme="minorEastAsia" w:hAnsiTheme="minorEastAsia" w:eastAsiaTheme="minorEastAsia" w:cstheme="minorEastAsia"/>
                <w:b w:val="0"/>
                <w:bCs w:val="0"/>
                <w:spacing w:val="8"/>
                <w:sz w:val="18"/>
                <w:szCs w:val="18"/>
              </w:rPr>
              <w:t xml:space="preserve"> </w:t>
            </w:r>
            <w:r>
              <w:rPr>
                <w:rFonts w:hint="eastAsia" w:asciiTheme="minorEastAsia" w:hAnsiTheme="minorEastAsia" w:eastAsiaTheme="minorEastAsia" w:cstheme="minorEastAsia"/>
                <w:b w:val="0"/>
                <w:bCs w:val="0"/>
                <w:spacing w:val="-1"/>
                <w:sz w:val="18"/>
                <w:szCs w:val="18"/>
              </w:rPr>
              <w:t>对每批次粮食进行标准化托样、检验，确</w:t>
            </w:r>
            <w:r>
              <w:rPr>
                <w:rFonts w:hint="eastAsia" w:asciiTheme="minorEastAsia" w:hAnsiTheme="minorEastAsia" w:eastAsiaTheme="minorEastAsia" w:cstheme="minorEastAsia"/>
                <w:b w:val="0"/>
                <w:bCs w:val="0"/>
                <w:spacing w:val="5"/>
                <w:sz w:val="18"/>
                <w:szCs w:val="18"/>
              </w:rPr>
              <w:t xml:space="preserve">  </w:t>
            </w:r>
            <w:r>
              <w:rPr>
                <w:rFonts w:hint="eastAsia" w:asciiTheme="minorEastAsia" w:hAnsiTheme="minorEastAsia" w:eastAsiaTheme="minorEastAsia" w:cstheme="minorEastAsia"/>
                <w:b w:val="0"/>
                <w:bCs w:val="0"/>
                <w:spacing w:val="-1"/>
                <w:sz w:val="18"/>
                <w:szCs w:val="18"/>
              </w:rPr>
              <w:t>保水分、杂质、整精米率等核心指标符合</w:t>
            </w:r>
            <w:r>
              <w:rPr>
                <w:rFonts w:hint="eastAsia" w:asciiTheme="minorEastAsia" w:hAnsiTheme="minorEastAsia" w:eastAsiaTheme="minorEastAsia" w:cstheme="minorEastAsia"/>
                <w:b w:val="0"/>
                <w:bCs w:val="0"/>
                <w:spacing w:val="4"/>
                <w:sz w:val="18"/>
                <w:szCs w:val="18"/>
              </w:rPr>
              <w:t xml:space="preserve">  </w:t>
            </w:r>
            <w:r>
              <w:rPr>
                <w:rFonts w:hint="eastAsia" w:asciiTheme="minorEastAsia" w:hAnsiTheme="minorEastAsia" w:eastAsiaTheme="minorEastAsia" w:cstheme="minorEastAsia"/>
                <w:b w:val="0"/>
                <w:bCs w:val="0"/>
                <w:sz w:val="18"/>
                <w:szCs w:val="18"/>
              </w:rPr>
              <w:t xml:space="preserve">国家标准。建立收购质量档案，留存检验  </w:t>
            </w:r>
            <w:r>
              <w:rPr>
                <w:rFonts w:hint="eastAsia" w:asciiTheme="minorEastAsia" w:hAnsiTheme="minorEastAsia" w:eastAsiaTheme="minorEastAsia" w:cstheme="minorEastAsia"/>
                <w:b w:val="0"/>
                <w:bCs w:val="0"/>
                <w:spacing w:val="2"/>
                <w:sz w:val="18"/>
                <w:szCs w:val="18"/>
              </w:rPr>
              <w:t>原始数据和影像资料，实现全程可追溯。</w:t>
            </w:r>
          </w:p>
          <w:p>
            <w:pPr>
              <w:pStyle w:val="7"/>
              <w:spacing w:before="118" w:line="308" w:lineRule="auto"/>
              <w:ind w:left="3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2.加强全流程监管措施，实行穿透式监管模</w:t>
            </w:r>
            <w:r>
              <w:rPr>
                <w:rFonts w:hint="eastAsia" w:asciiTheme="minorEastAsia" w:hAnsiTheme="minorEastAsia" w:eastAsiaTheme="minorEastAsia" w:cstheme="minorEastAsia"/>
                <w:b w:val="0"/>
                <w:bCs w:val="0"/>
                <w:spacing w:val="3"/>
                <w:sz w:val="18"/>
                <w:szCs w:val="18"/>
              </w:rPr>
              <w:t xml:space="preserve">  </w:t>
            </w:r>
            <w:r>
              <w:rPr>
                <w:rFonts w:hint="eastAsia" w:asciiTheme="minorEastAsia" w:hAnsiTheme="minorEastAsia" w:eastAsiaTheme="minorEastAsia" w:cstheme="minorEastAsia"/>
                <w:b w:val="0"/>
                <w:bCs w:val="0"/>
                <w:spacing w:val="4"/>
                <w:sz w:val="18"/>
                <w:szCs w:val="18"/>
              </w:rPr>
              <w:t>式，,采用“四不两直”方式(不发通知、</w:t>
            </w:r>
            <w:r>
              <w:rPr>
                <w:rFonts w:hint="eastAsia" w:asciiTheme="minorEastAsia" w:hAnsiTheme="minorEastAsia" w:eastAsiaTheme="minorEastAsia" w:cstheme="minorEastAsia"/>
                <w:b w:val="0"/>
                <w:bCs w:val="0"/>
                <w:spacing w:val="8"/>
                <w:sz w:val="18"/>
                <w:szCs w:val="18"/>
              </w:rPr>
              <w:t xml:space="preserve">  </w:t>
            </w:r>
            <w:r>
              <w:rPr>
                <w:rFonts w:hint="eastAsia" w:asciiTheme="minorEastAsia" w:hAnsiTheme="minorEastAsia" w:eastAsiaTheme="minorEastAsia" w:cstheme="minorEastAsia"/>
                <w:b w:val="0"/>
                <w:bCs w:val="0"/>
                <w:sz w:val="18"/>
                <w:szCs w:val="18"/>
              </w:rPr>
              <w:t>不打招呼、不听汇报、不同陪同接待、直   奔现场、直接抽检),重点检查收购现场扞   样流程是否规范、检验设备是否定期校准、</w:t>
            </w:r>
            <w:r>
              <w:rPr>
                <w:rFonts w:hint="eastAsia" w:asciiTheme="minorEastAsia" w:hAnsiTheme="minorEastAsia" w:eastAsiaTheme="minorEastAsia" w:cstheme="minorEastAsia"/>
                <w:b w:val="0"/>
                <w:bCs w:val="0"/>
                <w:spacing w:val="1"/>
                <w:sz w:val="18"/>
                <w:szCs w:val="18"/>
              </w:rPr>
              <w:t xml:space="preserve"> </w:t>
            </w:r>
            <w:r>
              <w:rPr>
                <w:rFonts w:hint="eastAsia" w:asciiTheme="minorEastAsia" w:hAnsiTheme="minorEastAsia" w:eastAsiaTheme="minorEastAsia" w:cstheme="minorEastAsia"/>
                <w:b w:val="0"/>
                <w:bCs w:val="0"/>
                <w:spacing w:val="4"/>
                <w:sz w:val="18"/>
                <w:szCs w:val="18"/>
              </w:rPr>
              <w:t>数据记录是否完整。</w:t>
            </w:r>
          </w:p>
          <w:p>
            <w:pPr>
              <w:pStyle w:val="7"/>
              <w:spacing w:before="67" w:line="308" w:lineRule="auto"/>
              <w:ind w:left="89" w:right="49" w:hanging="5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3.推广智能化检验设备，在重点产区配置近</w:t>
            </w:r>
            <w:r>
              <w:rPr>
                <w:rFonts w:hint="eastAsia" w:asciiTheme="minorEastAsia" w:hAnsiTheme="minorEastAsia" w:eastAsiaTheme="minorEastAsia" w:cstheme="minorEastAsia"/>
                <w:b w:val="0"/>
                <w:bCs w:val="0"/>
                <w:spacing w:val="10"/>
                <w:sz w:val="18"/>
                <w:szCs w:val="18"/>
              </w:rPr>
              <w:t xml:space="preserve"> </w:t>
            </w:r>
            <w:r>
              <w:rPr>
                <w:rFonts w:hint="eastAsia" w:asciiTheme="minorEastAsia" w:hAnsiTheme="minorEastAsia" w:eastAsiaTheme="minorEastAsia" w:cstheme="minorEastAsia"/>
                <w:b w:val="0"/>
                <w:bCs w:val="0"/>
                <w:spacing w:val="2"/>
                <w:sz w:val="18"/>
                <w:szCs w:val="18"/>
              </w:rPr>
              <w:t>红外谷物分析仪、自动化扞样机等设备，</w:t>
            </w:r>
            <w:r>
              <w:rPr>
                <w:rFonts w:hint="eastAsia" w:asciiTheme="minorEastAsia" w:hAnsiTheme="minorEastAsia" w:eastAsiaTheme="minorEastAsia" w:cstheme="minorEastAsia"/>
                <w:b w:val="0"/>
                <w:bCs w:val="0"/>
                <w:spacing w:val="14"/>
                <w:sz w:val="18"/>
                <w:szCs w:val="18"/>
              </w:rPr>
              <w:t xml:space="preserve"> </w:t>
            </w:r>
            <w:r>
              <w:rPr>
                <w:rFonts w:hint="eastAsia" w:asciiTheme="minorEastAsia" w:hAnsiTheme="minorEastAsia" w:eastAsiaTheme="minorEastAsia" w:cstheme="minorEastAsia"/>
                <w:b w:val="0"/>
                <w:bCs w:val="0"/>
                <w:spacing w:val="-1"/>
                <w:sz w:val="18"/>
                <w:szCs w:val="18"/>
              </w:rPr>
              <w:t>减少人为操作误差。推动检验数据实时上</w:t>
            </w:r>
            <w:r>
              <w:rPr>
                <w:rFonts w:hint="eastAsia" w:asciiTheme="minorEastAsia" w:hAnsiTheme="minorEastAsia" w:eastAsiaTheme="minorEastAsia" w:cstheme="minorEastAsia"/>
                <w:b w:val="0"/>
                <w:bCs w:val="0"/>
                <w:spacing w:val="7"/>
                <w:sz w:val="18"/>
                <w:szCs w:val="18"/>
              </w:rPr>
              <w:t xml:space="preserve">  </w:t>
            </w:r>
            <w:r>
              <w:rPr>
                <w:rFonts w:hint="eastAsia" w:asciiTheme="minorEastAsia" w:hAnsiTheme="minorEastAsia" w:eastAsiaTheme="minorEastAsia" w:cstheme="minorEastAsia"/>
                <w:b w:val="0"/>
                <w:bCs w:val="0"/>
                <w:sz w:val="18"/>
                <w:szCs w:val="18"/>
              </w:rPr>
              <w:t xml:space="preserve">传至省级粮食质量安全数据库，实现动态  </w:t>
            </w:r>
            <w:r>
              <w:rPr>
                <w:rFonts w:hint="eastAsia" w:asciiTheme="minorEastAsia" w:hAnsiTheme="minorEastAsia" w:eastAsiaTheme="minorEastAsia" w:cstheme="minorEastAsia"/>
                <w:b w:val="0"/>
                <w:bCs w:val="0"/>
                <w:spacing w:val="-1"/>
                <w:sz w:val="18"/>
                <w:szCs w:val="18"/>
              </w:rPr>
              <w:t>监控。并基于历史检验数据建立区域性粮</w:t>
            </w:r>
            <w:r>
              <w:rPr>
                <w:rFonts w:hint="eastAsia" w:asciiTheme="minorEastAsia" w:hAnsiTheme="minorEastAsia" w:eastAsiaTheme="minorEastAsia" w:cstheme="minorEastAsia"/>
                <w:b w:val="0"/>
                <w:bCs w:val="0"/>
                <w:spacing w:val="7"/>
                <w:sz w:val="18"/>
                <w:szCs w:val="18"/>
              </w:rPr>
              <w:t xml:space="preserve">  </w:t>
            </w:r>
            <w:r>
              <w:rPr>
                <w:rFonts w:hint="eastAsia" w:asciiTheme="minorEastAsia" w:hAnsiTheme="minorEastAsia" w:eastAsiaTheme="minorEastAsia" w:cstheme="minorEastAsia"/>
                <w:b w:val="0"/>
                <w:bCs w:val="0"/>
                <w:spacing w:val="-1"/>
                <w:sz w:val="18"/>
                <w:szCs w:val="18"/>
              </w:rPr>
              <w:t>食质量风险模型，对黄变粒、真菌毒素等</w:t>
            </w:r>
            <w:r>
              <w:rPr>
                <w:rFonts w:hint="eastAsia" w:asciiTheme="minorEastAsia" w:hAnsiTheme="minorEastAsia" w:eastAsiaTheme="minorEastAsia" w:cstheme="minorEastAsia"/>
                <w:b w:val="0"/>
                <w:bCs w:val="0"/>
                <w:spacing w:val="7"/>
                <w:sz w:val="18"/>
                <w:szCs w:val="18"/>
              </w:rPr>
              <w:t xml:space="preserve">  </w:t>
            </w:r>
            <w:r>
              <w:rPr>
                <w:rFonts w:hint="eastAsia" w:asciiTheme="minorEastAsia" w:hAnsiTheme="minorEastAsia" w:eastAsiaTheme="minorEastAsia" w:cstheme="minorEastAsia"/>
                <w:b w:val="0"/>
                <w:bCs w:val="0"/>
                <w:sz w:val="18"/>
                <w:szCs w:val="18"/>
              </w:rPr>
              <w:t>易超标指标进行预测预警，指导收购企业</w:t>
            </w:r>
            <w:r>
              <w:rPr>
                <w:rFonts w:hint="eastAsia" w:asciiTheme="minorEastAsia" w:hAnsiTheme="minorEastAsia" w:eastAsiaTheme="minorEastAsia" w:cstheme="minorEastAsia"/>
                <w:b w:val="0"/>
                <w:bCs w:val="0"/>
                <w:spacing w:val="3"/>
                <w:sz w:val="18"/>
                <w:szCs w:val="18"/>
              </w:rPr>
              <w:t xml:space="preserve">  </w:t>
            </w:r>
            <w:r>
              <w:rPr>
                <w:rFonts w:hint="eastAsia" w:asciiTheme="minorEastAsia" w:hAnsiTheme="minorEastAsia" w:eastAsiaTheme="minorEastAsia" w:cstheme="minorEastAsia"/>
                <w:b w:val="0"/>
                <w:bCs w:val="0"/>
                <w:spacing w:val="-3"/>
                <w:sz w:val="18"/>
                <w:szCs w:val="18"/>
              </w:rPr>
              <w:t>提前调整检验方案。</w:t>
            </w:r>
          </w:p>
        </w:tc>
        <w:tc>
          <w:tcPr>
            <w:tcW w:w="1765" w:type="dxa"/>
            <w:vAlign w:val="top"/>
          </w:tcPr>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spacing w:line="251" w:lineRule="auto"/>
              <w:jc w:val="left"/>
              <w:rPr>
                <w:rFonts w:hint="eastAsia" w:asciiTheme="minorEastAsia" w:hAnsiTheme="minorEastAsia" w:eastAsiaTheme="minorEastAsia" w:cstheme="minorEastAsia"/>
                <w:b w:val="0"/>
                <w:bCs w:val="0"/>
                <w:sz w:val="18"/>
                <w:szCs w:val="18"/>
              </w:rPr>
            </w:pPr>
          </w:p>
          <w:p>
            <w:pPr>
              <w:pStyle w:val="7"/>
              <w:spacing w:before="105" w:line="219" w:lineRule="auto"/>
              <w:jc w:val="center"/>
              <w:rPr>
                <w:rFonts w:hint="eastAsia" w:asciiTheme="minorEastAsia" w:hAnsiTheme="minorEastAsia" w:eastAsiaTheme="minorEastAsia" w:cstheme="minorEastAsia"/>
                <w:b w:val="0"/>
                <w:bCs w:val="0"/>
                <w:spacing w:val="-3"/>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pacing w:val="2"/>
                <w:sz w:val="18"/>
                <w:szCs w:val="18"/>
                <w:lang w:eastAsia="zh-CN"/>
              </w:rPr>
              <w:t>局</w:t>
            </w:r>
            <w:r>
              <w:rPr>
                <w:rFonts w:hint="eastAsia" w:asciiTheme="minorEastAsia" w:hAnsiTheme="minorEastAsia" w:eastAsiaTheme="minorEastAsia" w:cstheme="minorEastAsia"/>
                <w:b w:val="0"/>
                <w:bCs w:val="0"/>
                <w:spacing w:val="-3"/>
                <w:sz w:val="18"/>
                <w:szCs w:val="18"/>
              </w:rPr>
              <w:t>粮食</w:t>
            </w:r>
            <w:r>
              <w:rPr>
                <w:rFonts w:hint="eastAsia" w:asciiTheme="minorEastAsia" w:hAnsiTheme="minorEastAsia" w:eastAsiaTheme="minorEastAsia" w:cstheme="minorEastAsia"/>
                <w:b w:val="0"/>
                <w:bCs w:val="0"/>
                <w:spacing w:val="-3"/>
                <w:sz w:val="18"/>
                <w:szCs w:val="18"/>
                <w:lang w:eastAsia="zh-CN"/>
              </w:rPr>
              <w:t>股</w:t>
            </w:r>
          </w:p>
          <w:p>
            <w:pPr>
              <w:pStyle w:val="7"/>
              <w:spacing w:before="105" w:line="219" w:lineRule="auto"/>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lang w:eastAsia="zh-CN"/>
              </w:rPr>
              <w:t>（联系</w:t>
            </w:r>
            <w:r>
              <w:rPr>
                <w:rFonts w:hint="eastAsia" w:asciiTheme="minorEastAsia" w:hAnsiTheme="minorEastAsia" w:eastAsiaTheme="minorEastAsia" w:cstheme="minorEastAsia"/>
                <w:b w:val="0"/>
                <w:bCs w:val="0"/>
                <w:spacing w:val="-1"/>
                <w:sz w:val="18"/>
                <w:szCs w:val="18"/>
              </w:rPr>
              <w:t>电话：</w:t>
            </w:r>
            <w:r>
              <w:rPr>
                <w:rFonts w:hint="eastAsia" w:asciiTheme="minorEastAsia" w:hAnsiTheme="minorEastAsia" w:eastAsiaTheme="minorEastAsia" w:cstheme="minorEastAsia"/>
                <w:b w:val="0"/>
                <w:bCs w:val="0"/>
                <w:spacing w:val="-1"/>
                <w:sz w:val="18"/>
                <w:szCs w:val="18"/>
                <w:lang w:val="en-US" w:eastAsia="zh-CN"/>
              </w:rPr>
              <w:t>0714-8712233）</w:t>
            </w:r>
          </w:p>
        </w:tc>
      </w:tr>
    </w:tbl>
    <w:p>
      <w:pPr>
        <w:pStyle w:val="2"/>
        <w:jc w:val="left"/>
      </w:pPr>
    </w:p>
    <w:p>
      <w:pPr>
        <w:jc w:val="left"/>
        <w:sectPr>
          <w:footerReference r:id="rId6" w:type="default"/>
          <w:pgSz w:w="16840" w:h="11960"/>
          <w:pgMar w:top="1016" w:right="912" w:bottom="1209" w:left="845" w:header="0" w:footer="1091" w:gutter="0"/>
          <w:cols w:space="720" w:num="1"/>
        </w:sectPr>
      </w:pPr>
    </w:p>
    <w:p>
      <w:pPr>
        <w:spacing w:before="11"/>
        <w:jc w:val="left"/>
      </w:pPr>
    </w:p>
    <w:p>
      <w:pPr>
        <w:spacing w:before="11"/>
        <w:jc w:val="left"/>
      </w:pPr>
    </w:p>
    <w:p>
      <w:pPr>
        <w:spacing w:before="11"/>
        <w:jc w:val="left"/>
      </w:pPr>
    </w:p>
    <w:tbl>
      <w:tblPr>
        <w:tblStyle w:val="6"/>
        <w:tblW w:w="15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699"/>
        <w:gridCol w:w="1689"/>
        <w:gridCol w:w="4357"/>
        <w:gridCol w:w="1219"/>
        <w:gridCol w:w="3518"/>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24" w:type="dxa"/>
            <w:vAlign w:val="top"/>
          </w:tcPr>
          <w:p>
            <w:pPr>
              <w:pStyle w:val="7"/>
              <w:spacing w:before="192" w:line="221" w:lineRule="auto"/>
              <w:ind w:left="168"/>
              <w:jc w:val="left"/>
              <w:rPr>
                <w:sz w:val="24"/>
                <w:szCs w:val="24"/>
              </w:rPr>
            </w:pPr>
            <w:r>
              <w:rPr>
                <w:b/>
                <w:bCs/>
                <w:spacing w:val="-5"/>
                <w:sz w:val="24"/>
                <w:szCs w:val="24"/>
              </w:rPr>
              <w:t>序号</w:t>
            </w:r>
          </w:p>
        </w:tc>
        <w:tc>
          <w:tcPr>
            <w:tcW w:w="1699" w:type="dxa"/>
            <w:vAlign w:val="top"/>
          </w:tcPr>
          <w:p>
            <w:pPr>
              <w:pStyle w:val="7"/>
              <w:spacing w:before="192" w:line="220" w:lineRule="auto"/>
              <w:ind w:left="364"/>
              <w:jc w:val="left"/>
              <w:rPr>
                <w:sz w:val="24"/>
                <w:szCs w:val="24"/>
              </w:rPr>
            </w:pPr>
            <w:r>
              <w:rPr>
                <w:b/>
                <w:bCs/>
                <w:spacing w:val="-1"/>
                <w:sz w:val="24"/>
                <w:szCs w:val="24"/>
              </w:rPr>
              <w:t>指导事项</w:t>
            </w:r>
          </w:p>
        </w:tc>
        <w:tc>
          <w:tcPr>
            <w:tcW w:w="1689" w:type="dxa"/>
            <w:vAlign w:val="top"/>
          </w:tcPr>
          <w:p>
            <w:pPr>
              <w:pStyle w:val="7"/>
              <w:spacing w:before="30" w:line="219" w:lineRule="auto"/>
              <w:ind w:left="114"/>
              <w:jc w:val="left"/>
            </w:pPr>
            <w:r>
              <w:rPr>
                <w:b/>
                <w:bCs/>
                <w:spacing w:val="-11"/>
              </w:rPr>
              <w:t>常</w:t>
            </w:r>
            <w:r>
              <w:rPr>
                <w:spacing w:val="-17"/>
              </w:rPr>
              <w:t xml:space="preserve"> </w:t>
            </w:r>
            <w:r>
              <w:rPr>
                <w:b/>
                <w:bCs/>
                <w:spacing w:val="-11"/>
              </w:rPr>
              <w:t>见</w:t>
            </w:r>
            <w:r>
              <w:rPr>
                <w:spacing w:val="-25"/>
              </w:rPr>
              <w:t xml:space="preserve"> </w:t>
            </w:r>
            <w:r>
              <w:rPr>
                <w:b/>
                <w:bCs/>
                <w:spacing w:val="-11"/>
              </w:rPr>
              <w:t>违</w:t>
            </w:r>
            <w:r>
              <w:rPr>
                <w:spacing w:val="-23"/>
              </w:rPr>
              <w:t xml:space="preserve"> </w:t>
            </w:r>
            <w:r>
              <w:rPr>
                <w:b/>
                <w:bCs/>
                <w:spacing w:val="-11"/>
              </w:rPr>
              <w:t>法</w:t>
            </w:r>
            <w:r>
              <w:rPr>
                <w:spacing w:val="-21"/>
              </w:rPr>
              <w:t xml:space="preserve"> </w:t>
            </w:r>
            <w:r>
              <w:rPr>
                <w:b/>
                <w:bCs/>
                <w:spacing w:val="-11"/>
              </w:rPr>
              <w:t>行</w:t>
            </w:r>
            <w:r>
              <w:rPr>
                <w:spacing w:val="-23"/>
              </w:rPr>
              <w:t xml:space="preserve"> </w:t>
            </w:r>
            <w:r>
              <w:rPr>
                <w:b/>
                <w:bCs/>
                <w:spacing w:val="-11"/>
              </w:rPr>
              <w:t>为</w:t>
            </w:r>
          </w:p>
          <w:p>
            <w:pPr>
              <w:pStyle w:val="7"/>
              <w:spacing w:before="67" w:line="192" w:lineRule="auto"/>
              <w:ind w:left="555"/>
              <w:jc w:val="left"/>
              <w:rPr>
                <w:sz w:val="28"/>
                <w:szCs w:val="28"/>
              </w:rPr>
            </w:pPr>
            <w:r>
              <w:rPr>
                <w:b/>
                <w:bCs/>
                <w:spacing w:val="-6"/>
                <w:sz w:val="28"/>
                <w:szCs w:val="28"/>
              </w:rPr>
              <w:t>表现</w:t>
            </w:r>
          </w:p>
        </w:tc>
        <w:tc>
          <w:tcPr>
            <w:tcW w:w="4357" w:type="dxa"/>
            <w:vAlign w:val="top"/>
          </w:tcPr>
          <w:p>
            <w:pPr>
              <w:pStyle w:val="7"/>
              <w:spacing w:before="189" w:line="219" w:lineRule="auto"/>
              <w:ind w:left="1096"/>
              <w:jc w:val="left"/>
              <w:rPr>
                <w:sz w:val="24"/>
                <w:szCs w:val="24"/>
              </w:rPr>
            </w:pPr>
            <w:r>
              <w:rPr>
                <w:b/>
                <w:bCs/>
                <w:spacing w:val="-4"/>
                <w:sz w:val="24"/>
                <w:szCs w:val="24"/>
              </w:rPr>
              <w:t>法律依据及违法责任</w:t>
            </w:r>
          </w:p>
        </w:tc>
        <w:tc>
          <w:tcPr>
            <w:tcW w:w="1219" w:type="dxa"/>
            <w:vAlign w:val="top"/>
          </w:tcPr>
          <w:p>
            <w:pPr>
              <w:pStyle w:val="7"/>
              <w:spacing w:before="191" w:line="219" w:lineRule="auto"/>
              <w:ind w:left="129"/>
              <w:jc w:val="left"/>
              <w:rPr>
                <w:sz w:val="24"/>
                <w:szCs w:val="24"/>
              </w:rPr>
            </w:pPr>
            <w:r>
              <w:rPr>
                <w:b/>
                <w:bCs/>
                <w:spacing w:val="-5"/>
                <w:sz w:val="24"/>
                <w:szCs w:val="24"/>
              </w:rPr>
              <w:t>发生频率</w:t>
            </w:r>
          </w:p>
        </w:tc>
        <w:tc>
          <w:tcPr>
            <w:tcW w:w="3518" w:type="dxa"/>
            <w:vAlign w:val="top"/>
          </w:tcPr>
          <w:p>
            <w:pPr>
              <w:pStyle w:val="7"/>
              <w:spacing w:before="182" w:line="220" w:lineRule="auto"/>
              <w:ind w:left="1500"/>
              <w:jc w:val="left"/>
              <w:rPr>
                <w:sz w:val="26"/>
                <w:szCs w:val="26"/>
              </w:rPr>
            </w:pPr>
            <w:r>
              <w:rPr>
                <w:b/>
                <w:bCs/>
                <w:spacing w:val="-7"/>
                <w:sz w:val="26"/>
                <w:szCs w:val="26"/>
              </w:rPr>
              <w:t>建议</w:t>
            </w:r>
          </w:p>
        </w:tc>
        <w:tc>
          <w:tcPr>
            <w:tcW w:w="1773" w:type="dxa"/>
            <w:vAlign w:val="top"/>
          </w:tcPr>
          <w:p>
            <w:pPr>
              <w:pStyle w:val="7"/>
              <w:spacing w:before="31" w:line="219" w:lineRule="auto"/>
              <w:ind w:left="402"/>
              <w:jc w:val="left"/>
              <w:rPr>
                <w:sz w:val="24"/>
                <w:szCs w:val="24"/>
              </w:rPr>
            </w:pPr>
            <w:r>
              <w:rPr>
                <w:b/>
                <w:bCs/>
                <w:spacing w:val="2"/>
                <w:sz w:val="24"/>
                <w:szCs w:val="24"/>
              </w:rPr>
              <w:t>指导部门</w:t>
            </w:r>
          </w:p>
          <w:p>
            <w:pPr>
              <w:pStyle w:val="7"/>
              <w:spacing w:before="24" w:line="210" w:lineRule="auto"/>
              <w:ind w:left="222"/>
              <w:jc w:val="left"/>
              <w:rPr>
                <w:sz w:val="24"/>
                <w:szCs w:val="24"/>
              </w:rPr>
            </w:pPr>
            <w:r>
              <w:rPr>
                <w:b/>
                <w:bCs/>
                <w:spacing w:val="4"/>
                <w:sz w:val="24"/>
                <w:szCs w:val="24"/>
              </w:rPr>
              <w:t>(机构/科室)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6" w:hRule="atLeast"/>
        </w:trPr>
        <w:tc>
          <w:tcPr>
            <w:tcW w:w="824" w:type="dxa"/>
            <w:vAlign w:val="top"/>
          </w:tcPr>
          <w:p>
            <w:pPr>
              <w:spacing w:line="242" w:lineRule="auto"/>
              <w:jc w:val="left"/>
              <w:rPr>
                <w:rFonts w:ascii="Arial"/>
                <w:sz w:val="21"/>
              </w:rPr>
            </w:pPr>
          </w:p>
          <w:p>
            <w:pPr>
              <w:spacing w:line="242" w:lineRule="auto"/>
              <w:jc w:val="left"/>
              <w:rPr>
                <w:rFonts w:ascii="Arial"/>
                <w:sz w:val="21"/>
              </w:rPr>
            </w:pPr>
          </w:p>
          <w:p>
            <w:pPr>
              <w:spacing w:line="242" w:lineRule="auto"/>
              <w:jc w:val="left"/>
              <w:rPr>
                <w:rFonts w:ascii="Arial"/>
                <w:sz w:val="21"/>
              </w:rPr>
            </w:pPr>
          </w:p>
          <w:p>
            <w:pPr>
              <w:spacing w:line="242"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spacing w:line="243" w:lineRule="auto"/>
              <w:jc w:val="left"/>
              <w:rPr>
                <w:rFonts w:ascii="Arial"/>
                <w:sz w:val="21"/>
              </w:rPr>
            </w:pPr>
          </w:p>
          <w:p>
            <w:pPr>
              <w:pStyle w:val="7"/>
              <w:spacing w:before="62"/>
              <w:ind w:left="357"/>
              <w:jc w:val="left"/>
            </w:pPr>
            <w:r>
              <w:rPr>
                <w:b/>
                <w:bCs/>
                <w:spacing w:val="-2"/>
              </w:rPr>
              <w:t>7</w:t>
            </w:r>
          </w:p>
        </w:tc>
        <w:tc>
          <w:tcPr>
            <w:tcW w:w="1699" w:type="dxa"/>
            <w:vAlign w:val="top"/>
          </w:tcPr>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1" w:lineRule="auto"/>
              <w:jc w:val="left"/>
              <w:rPr>
                <w:rFonts w:hint="eastAsia" w:asciiTheme="minorEastAsia" w:hAnsiTheme="minorEastAsia" w:eastAsiaTheme="minorEastAsia" w:cstheme="minorEastAsia"/>
                <w:b w:val="0"/>
                <w:bCs w:val="0"/>
                <w:sz w:val="18"/>
                <w:szCs w:val="18"/>
              </w:rPr>
            </w:pPr>
          </w:p>
          <w:p>
            <w:pPr>
              <w:spacing w:line="242" w:lineRule="auto"/>
              <w:jc w:val="left"/>
              <w:rPr>
                <w:rFonts w:hint="eastAsia" w:asciiTheme="minorEastAsia" w:hAnsiTheme="minorEastAsia" w:eastAsiaTheme="minorEastAsia" w:cstheme="minorEastAsia"/>
                <w:b w:val="0"/>
                <w:bCs w:val="0"/>
                <w:sz w:val="18"/>
                <w:szCs w:val="18"/>
              </w:rPr>
            </w:pPr>
          </w:p>
          <w:p>
            <w:pPr>
              <w:spacing w:line="242" w:lineRule="auto"/>
              <w:jc w:val="left"/>
              <w:rPr>
                <w:rFonts w:hint="eastAsia" w:asciiTheme="minorEastAsia" w:hAnsiTheme="minorEastAsia" w:eastAsiaTheme="minorEastAsia" w:cstheme="minorEastAsia"/>
                <w:b w:val="0"/>
                <w:bCs w:val="0"/>
                <w:sz w:val="18"/>
                <w:szCs w:val="18"/>
              </w:rPr>
            </w:pPr>
          </w:p>
          <w:p>
            <w:pPr>
              <w:spacing w:line="242" w:lineRule="auto"/>
              <w:jc w:val="left"/>
              <w:rPr>
                <w:rFonts w:hint="eastAsia" w:asciiTheme="minorEastAsia" w:hAnsiTheme="minorEastAsia" w:eastAsiaTheme="minorEastAsia" w:cstheme="minorEastAsia"/>
                <w:b w:val="0"/>
                <w:bCs w:val="0"/>
                <w:sz w:val="18"/>
                <w:szCs w:val="18"/>
              </w:rPr>
            </w:pPr>
          </w:p>
          <w:p>
            <w:pPr>
              <w:spacing w:line="242" w:lineRule="auto"/>
              <w:jc w:val="left"/>
              <w:rPr>
                <w:rFonts w:hint="eastAsia" w:asciiTheme="minorEastAsia" w:hAnsiTheme="minorEastAsia" w:eastAsiaTheme="minorEastAsia" w:cstheme="minorEastAsia"/>
                <w:b w:val="0"/>
                <w:bCs w:val="0"/>
                <w:sz w:val="18"/>
                <w:szCs w:val="18"/>
              </w:rPr>
            </w:pPr>
          </w:p>
          <w:p>
            <w:pPr>
              <w:spacing w:line="242" w:lineRule="auto"/>
              <w:jc w:val="left"/>
              <w:rPr>
                <w:rFonts w:hint="eastAsia" w:asciiTheme="minorEastAsia" w:hAnsiTheme="minorEastAsia" w:eastAsiaTheme="minorEastAsia" w:cstheme="minorEastAsia"/>
                <w:b w:val="0"/>
                <w:bCs w:val="0"/>
                <w:sz w:val="18"/>
                <w:szCs w:val="18"/>
              </w:rPr>
            </w:pPr>
          </w:p>
          <w:p>
            <w:pPr>
              <w:pStyle w:val="7"/>
              <w:spacing w:before="62" w:line="219" w:lineRule="auto"/>
              <w:ind w:left="273"/>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粮食流通管理</w:t>
            </w:r>
          </w:p>
        </w:tc>
        <w:tc>
          <w:tcPr>
            <w:tcW w:w="1689" w:type="dxa"/>
            <w:vAlign w:val="top"/>
          </w:tcPr>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49"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spacing w:line="250" w:lineRule="auto"/>
              <w:jc w:val="left"/>
              <w:rPr>
                <w:rFonts w:hint="eastAsia" w:asciiTheme="minorEastAsia" w:hAnsiTheme="minorEastAsia" w:eastAsiaTheme="minorEastAsia" w:cstheme="minorEastAsia"/>
                <w:b w:val="0"/>
                <w:bCs w:val="0"/>
                <w:sz w:val="18"/>
                <w:szCs w:val="18"/>
              </w:rPr>
            </w:pPr>
          </w:p>
          <w:p>
            <w:pPr>
              <w:pStyle w:val="7"/>
              <w:spacing w:before="62" w:line="303" w:lineRule="auto"/>
              <w:ind w:left="74" w:right="66"/>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粮食收购者未及时</w:t>
            </w:r>
            <w:r>
              <w:rPr>
                <w:rFonts w:hint="eastAsia" w:asciiTheme="minorEastAsia" w:hAnsiTheme="minorEastAsia" w:eastAsiaTheme="minorEastAsia" w:cstheme="minorEastAsia"/>
                <w:b w:val="0"/>
                <w:bCs w:val="0"/>
                <w:sz w:val="18"/>
                <w:szCs w:val="18"/>
              </w:rPr>
              <w:t xml:space="preserve"> 支付售粮款的处罚</w:t>
            </w:r>
          </w:p>
        </w:tc>
        <w:tc>
          <w:tcPr>
            <w:tcW w:w="4357" w:type="dxa"/>
            <w:vAlign w:val="top"/>
          </w:tcPr>
          <w:p>
            <w:pPr>
              <w:spacing w:line="344" w:lineRule="auto"/>
              <w:jc w:val="left"/>
              <w:rPr>
                <w:rFonts w:hint="eastAsia" w:asciiTheme="minorEastAsia" w:hAnsiTheme="minorEastAsia" w:eastAsiaTheme="minorEastAsia" w:cstheme="minorEastAsia"/>
                <w:b w:val="0"/>
                <w:bCs w:val="0"/>
                <w:sz w:val="18"/>
                <w:szCs w:val="18"/>
              </w:rPr>
            </w:pPr>
          </w:p>
          <w:p>
            <w:pPr>
              <w:spacing w:line="345" w:lineRule="auto"/>
              <w:jc w:val="left"/>
              <w:rPr>
                <w:rFonts w:hint="eastAsia" w:asciiTheme="minorEastAsia" w:hAnsiTheme="minorEastAsia" w:eastAsiaTheme="minorEastAsia" w:cstheme="minorEastAsia"/>
                <w:b w:val="0"/>
                <w:bCs w:val="0"/>
                <w:sz w:val="18"/>
                <w:szCs w:val="18"/>
              </w:rPr>
            </w:pPr>
          </w:p>
          <w:p>
            <w:pPr>
              <w:pStyle w:val="7"/>
              <w:spacing w:before="62" w:line="294" w:lineRule="auto"/>
              <w:ind w:left="125" w:right="6" w:hanging="45"/>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3"/>
                <w:sz w:val="18"/>
                <w:szCs w:val="18"/>
              </w:rPr>
              <w:t>【法规】《粮食流通管理条例》(2004年国务院令第407</w:t>
            </w:r>
            <w:r>
              <w:rPr>
                <w:rFonts w:hint="eastAsia" w:asciiTheme="minorEastAsia" w:hAnsiTheme="minorEastAsia" w:eastAsiaTheme="minorEastAsia" w:cstheme="minorEastAsia"/>
                <w:b w:val="0"/>
                <w:bCs w:val="0"/>
                <w:spacing w:val="6"/>
                <w:sz w:val="18"/>
                <w:szCs w:val="18"/>
              </w:rPr>
              <w:t xml:space="preserve"> </w:t>
            </w:r>
            <w:r>
              <w:rPr>
                <w:rFonts w:hint="eastAsia" w:asciiTheme="minorEastAsia" w:hAnsiTheme="minorEastAsia" w:eastAsiaTheme="minorEastAsia" w:cstheme="minorEastAsia"/>
                <w:b w:val="0"/>
                <w:bCs w:val="0"/>
                <w:sz w:val="18"/>
                <w:szCs w:val="18"/>
              </w:rPr>
              <w:t>号，2021年第三次修订)</w:t>
            </w:r>
          </w:p>
          <w:p>
            <w:pPr>
              <w:pStyle w:val="7"/>
              <w:spacing w:before="8" w:line="303" w:lineRule="auto"/>
              <w:ind w:left="15" w:firstLine="68"/>
              <w:jc w:val="left"/>
              <w:rPr>
                <w:rFonts w:hint="eastAsia" w:asciiTheme="minorEastAsia" w:hAnsiTheme="minorEastAsia" w:eastAsiaTheme="minorEastAsia" w:cstheme="minorEastAsia"/>
                <w:b w:val="0"/>
                <w:bCs w:val="0"/>
                <w:spacing w:val="-12"/>
                <w:sz w:val="18"/>
                <w:szCs w:val="18"/>
              </w:rPr>
            </w:pPr>
            <w:r>
              <w:rPr>
                <w:rFonts w:hint="eastAsia" w:asciiTheme="minorEastAsia" w:hAnsiTheme="minorEastAsia" w:eastAsiaTheme="minorEastAsia" w:cstheme="minorEastAsia"/>
                <w:b w:val="0"/>
                <w:bCs w:val="0"/>
                <w:spacing w:val="-7"/>
                <w:sz w:val="18"/>
                <w:szCs w:val="18"/>
              </w:rPr>
              <w:t>第四十五条</w:t>
            </w:r>
            <w:r>
              <w:rPr>
                <w:rFonts w:hint="eastAsia" w:asciiTheme="minorEastAsia" w:hAnsiTheme="minorEastAsia" w:eastAsiaTheme="minorEastAsia" w:cstheme="minorEastAsia"/>
                <w:b w:val="0"/>
                <w:bCs w:val="0"/>
                <w:spacing w:val="-7"/>
                <w:sz w:val="18"/>
                <w:szCs w:val="18"/>
                <w:lang w:val="en-US" w:eastAsia="zh-CN"/>
              </w:rPr>
              <w:t xml:space="preserve">  </w:t>
            </w:r>
            <w:r>
              <w:rPr>
                <w:rFonts w:hint="eastAsia" w:asciiTheme="minorEastAsia" w:hAnsiTheme="minorEastAsia" w:eastAsiaTheme="minorEastAsia" w:cstheme="minorEastAsia"/>
                <w:b w:val="0"/>
                <w:bCs w:val="0"/>
                <w:spacing w:val="-7"/>
                <w:sz w:val="18"/>
                <w:szCs w:val="18"/>
              </w:rPr>
              <w:t>“有下列情形之一的，由粮食和储备行</w:t>
            </w:r>
            <w:r>
              <w:rPr>
                <w:rFonts w:hint="eastAsia" w:asciiTheme="minorEastAsia" w:hAnsiTheme="minorEastAsia" w:eastAsiaTheme="minorEastAsia" w:cstheme="minorEastAsia"/>
                <w:b w:val="0"/>
                <w:bCs w:val="0"/>
                <w:spacing w:val="6"/>
                <w:sz w:val="18"/>
                <w:szCs w:val="18"/>
              </w:rPr>
              <w:t xml:space="preserve">   </w:t>
            </w:r>
            <w:r>
              <w:rPr>
                <w:rFonts w:hint="eastAsia" w:asciiTheme="minorEastAsia" w:hAnsiTheme="minorEastAsia" w:eastAsiaTheme="minorEastAsia" w:cstheme="minorEastAsia"/>
                <w:b w:val="0"/>
                <w:bCs w:val="0"/>
                <w:spacing w:val="-7"/>
                <w:sz w:val="18"/>
                <w:szCs w:val="18"/>
              </w:rPr>
              <w:t>政管理部门责令改正，给予警告，可以并处20万元以下罚款；情节严重的，并处20万元以上50万元以下罚</w:t>
            </w:r>
            <w:r>
              <w:rPr>
                <w:rFonts w:hint="eastAsia" w:asciiTheme="minorEastAsia" w:hAnsiTheme="minorEastAsia" w:eastAsiaTheme="minorEastAsia" w:cstheme="minorEastAsia"/>
                <w:b w:val="0"/>
                <w:bCs w:val="0"/>
                <w:spacing w:val="-11"/>
                <w:sz w:val="18"/>
                <w:szCs w:val="18"/>
              </w:rPr>
              <w:t>款”“(二)粮食收购者未及时向售粮者支付</w:t>
            </w:r>
            <w:r>
              <w:rPr>
                <w:rFonts w:hint="eastAsia" w:asciiTheme="minorEastAsia" w:hAnsiTheme="minorEastAsia" w:eastAsiaTheme="minorEastAsia" w:cstheme="minorEastAsia"/>
                <w:b w:val="0"/>
                <w:bCs w:val="0"/>
                <w:spacing w:val="-12"/>
                <w:sz w:val="18"/>
                <w:szCs w:val="18"/>
              </w:rPr>
              <w:t>售粮款”。</w:t>
            </w:r>
          </w:p>
          <w:p>
            <w:pPr>
              <w:pStyle w:val="7"/>
              <w:spacing w:before="8" w:line="303" w:lineRule="auto"/>
              <w:ind w:left="15" w:firstLine="68"/>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5"/>
                <w:sz w:val="18"/>
                <w:szCs w:val="18"/>
              </w:rPr>
              <w:t>第五十一条 从事粮食经营活动的企业有违反</w:t>
            </w:r>
            <w:r>
              <w:rPr>
                <w:rFonts w:hint="eastAsia" w:asciiTheme="minorEastAsia" w:hAnsiTheme="minorEastAsia" w:eastAsiaTheme="minorEastAsia" w:cstheme="minorEastAsia"/>
                <w:b w:val="0"/>
                <w:bCs w:val="0"/>
                <w:spacing w:val="-6"/>
                <w:sz w:val="18"/>
                <w:szCs w:val="18"/>
              </w:rPr>
              <w:t>本条例</w:t>
            </w:r>
            <w:r>
              <w:rPr>
                <w:rFonts w:hint="eastAsia" w:asciiTheme="minorEastAsia" w:hAnsiTheme="minorEastAsia" w:eastAsiaTheme="minorEastAsia" w:cstheme="minorEastAsia"/>
                <w:b w:val="0"/>
                <w:bCs w:val="0"/>
                <w:spacing w:val="-8"/>
                <w:sz w:val="18"/>
                <w:szCs w:val="18"/>
              </w:rPr>
              <w:t>规定的违法情形且情节严重的，对其法定代表人、主</w:t>
            </w:r>
            <w:r>
              <w:rPr>
                <w:rFonts w:hint="eastAsia" w:asciiTheme="minorEastAsia" w:hAnsiTheme="minorEastAsia" w:eastAsiaTheme="minorEastAsia" w:cstheme="minorEastAsia"/>
                <w:b w:val="0"/>
                <w:bCs w:val="0"/>
                <w:spacing w:val="-7"/>
                <w:sz w:val="18"/>
                <w:szCs w:val="18"/>
              </w:rPr>
              <w:t>要负责人、直接负责的主管人员和其他直接责任人员</w:t>
            </w:r>
            <w:r>
              <w:rPr>
                <w:rFonts w:hint="eastAsia" w:asciiTheme="minorEastAsia" w:hAnsiTheme="minorEastAsia" w:eastAsiaTheme="minorEastAsia" w:cstheme="minorEastAsia"/>
                <w:b w:val="0"/>
                <w:bCs w:val="0"/>
                <w:spacing w:val="-6"/>
                <w:sz w:val="18"/>
                <w:szCs w:val="18"/>
              </w:rPr>
              <w:t>处以其上一年度从本企业取得收入的1倍以上10倍以</w:t>
            </w:r>
            <w:r>
              <w:rPr>
                <w:rFonts w:hint="eastAsia" w:asciiTheme="minorEastAsia" w:hAnsiTheme="minorEastAsia" w:eastAsiaTheme="minorEastAsia" w:cstheme="minorEastAsia"/>
                <w:b w:val="0"/>
                <w:bCs w:val="0"/>
                <w:spacing w:val="11"/>
                <w:sz w:val="18"/>
                <w:szCs w:val="18"/>
              </w:rPr>
              <w:t>下罚款。</w:t>
            </w:r>
          </w:p>
          <w:p>
            <w:pPr>
              <w:pStyle w:val="7"/>
              <w:numPr>
                <w:ilvl w:val="0"/>
                <w:numId w:val="0"/>
              </w:numPr>
              <w:spacing w:before="82" w:line="308" w:lineRule="auto"/>
              <w:ind w:left="105" w:leftChars="0"/>
              <w:jc w:val="left"/>
              <w:rPr>
                <w:rFonts w:hint="eastAsia" w:asciiTheme="minorEastAsia" w:hAnsiTheme="minorEastAsia" w:eastAsiaTheme="minorEastAsia" w:cstheme="minorEastAsia"/>
                <w:b w:val="0"/>
                <w:bCs w:val="0"/>
                <w:spacing w:val="-8"/>
                <w:sz w:val="18"/>
                <w:szCs w:val="18"/>
              </w:rPr>
            </w:pPr>
            <w:r>
              <w:rPr>
                <w:rFonts w:hint="eastAsia" w:asciiTheme="minorEastAsia" w:hAnsiTheme="minorEastAsia" w:eastAsiaTheme="minorEastAsia" w:cstheme="minorEastAsia"/>
                <w:b w:val="0"/>
                <w:bCs w:val="0"/>
                <w:spacing w:val="-8"/>
                <w:sz w:val="18"/>
                <w:szCs w:val="18"/>
              </w:rPr>
              <w:fldChar w:fldCharType="begin"/>
            </w:r>
            <w:r>
              <w:rPr>
                <w:rFonts w:hint="eastAsia" w:asciiTheme="minorEastAsia" w:hAnsiTheme="minorEastAsia" w:eastAsiaTheme="minorEastAsia" w:cstheme="minorEastAsia"/>
                <w:b w:val="0"/>
                <w:bCs w:val="0"/>
                <w:spacing w:val="-8"/>
                <w:sz w:val="18"/>
                <w:szCs w:val="18"/>
              </w:rPr>
              <w:instrText xml:space="preserve"> HYPERLINK "https://www.waizi.org.cn/doc/138071.html" </w:instrText>
            </w:r>
            <w:r>
              <w:rPr>
                <w:rFonts w:hint="eastAsia" w:asciiTheme="minorEastAsia" w:hAnsiTheme="minorEastAsia" w:eastAsiaTheme="minorEastAsia" w:cstheme="minorEastAsia"/>
                <w:b w:val="0"/>
                <w:bCs w:val="0"/>
                <w:spacing w:val="-8"/>
                <w:sz w:val="18"/>
                <w:szCs w:val="18"/>
              </w:rPr>
              <w:fldChar w:fldCharType="separate"/>
            </w:r>
            <w:r>
              <w:rPr>
                <w:rFonts w:hint="eastAsia" w:asciiTheme="minorEastAsia" w:hAnsiTheme="minorEastAsia" w:eastAsiaTheme="minorEastAsia" w:cstheme="minorEastAsia"/>
                <w:b w:val="0"/>
                <w:bCs w:val="0"/>
                <w:spacing w:val="-8"/>
                <w:sz w:val="18"/>
                <w:szCs w:val="18"/>
              </w:rPr>
              <w:t>《粮食流通行政执法办法》国家发展和改革委员会令2022年第53号（全文）</w:t>
            </w:r>
            <w:r>
              <w:rPr>
                <w:rFonts w:hint="eastAsia" w:asciiTheme="minorEastAsia" w:hAnsiTheme="minorEastAsia" w:eastAsiaTheme="minorEastAsia" w:cstheme="minorEastAsia"/>
                <w:b w:val="0"/>
                <w:bCs w:val="0"/>
                <w:spacing w:val="-8"/>
                <w:sz w:val="18"/>
                <w:szCs w:val="18"/>
              </w:rPr>
              <w:fldChar w:fldCharType="end"/>
            </w:r>
          </w:p>
          <w:p>
            <w:pPr>
              <w:pStyle w:val="7"/>
              <w:numPr>
                <w:ilvl w:val="0"/>
                <w:numId w:val="0"/>
              </w:numPr>
              <w:spacing w:before="82" w:line="308" w:lineRule="auto"/>
              <w:ind w:left="115" w:leftChars="0" w:hanging="10" w:firstLineChars="0"/>
              <w:jc w:val="left"/>
              <w:rPr>
                <w:rFonts w:hint="eastAsia" w:asciiTheme="minorEastAsia" w:hAnsiTheme="minorEastAsia" w:eastAsiaTheme="minorEastAsia" w:cstheme="minorEastAsia"/>
                <w:b w:val="0"/>
                <w:bCs w:val="0"/>
                <w:spacing w:val="-8"/>
                <w:sz w:val="18"/>
                <w:szCs w:val="18"/>
              </w:rPr>
            </w:pPr>
            <w:r>
              <w:rPr>
                <w:rFonts w:hint="eastAsia" w:asciiTheme="minorEastAsia" w:hAnsiTheme="minorEastAsia" w:eastAsiaTheme="minorEastAsia" w:cstheme="minorEastAsia"/>
                <w:b w:val="0"/>
                <w:bCs w:val="0"/>
                <w:snapToGrid w:val="0"/>
                <w:color w:val="000000"/>
                <w:spacing w:val="-8"/>
                <w:kern w:val="0"/>
                <w:sz w:val="18"/>
                <w:szCs w:val="18"/>
                <w:lang w:val="en-US" w:eastAsia="en-US" w:bidi="ar-SA"/>
              </w:rPr>
              <w:t>第十</w:t>
            </w:r>
            <w:r>
              <w:rPr>
                <w:rFonts w:hint="eastAsia" w:asciiTheme="minorEastAsia" w:hAnsiTheme="minorEastAsia" w:eastAsiaTheme="minorEastAsia" w:cstheme="minorEastAsia"/>
                <w:b w:val="0"/>
                <w:bCs w:val="0"/>
                <w:snapToGrid w:val="0"/>
                <w:color w:val="000000"/>
                <w:spacing w:val="-8"/>
                <w:kern w:val="0"/>
                <w:sz w:val="18"/>
                <w:szCs w:val="18"/>
                <w:lang w:val="en-US" w:eastAsia="zh-CN" w:bidi="ar-SA"/>
              </w:rPr>
              <w:t>三</w:t>
            </w:r>
            <w:r>
              <w:rPr>
                <w:rFonts w:hint="eastAsia" w:asciiTheme="minorEastAsia" w:hAnsiTheme="minorEastAsia" w:eastAsiaTheme="minorEastAsia" w:cstheme="minorEastAsia"/>
                <w:b w:val="0"/>
                <w:bCs w:val="0"/>
                <w:snapToGrid w:val="0"/>
                <w:color w:val="000000"/>
                <w:spacing w:val="-8"/>
                <w:kern w:val="0"/>
                <w:sz w:val="18"/>
                <w:szCs w:val="18"/>
                <w:lang w:val="en-US" w:eastAsia="en-US" w:bidi="ar-SA"/>
              </w:rPr>
              <w:t>条</w:t>
            </w:r>
            <w:r>
              <w:rPr>
                <w:rFonts w:hint="eastAsia" w:asciiTheme="minorEastAsia" w:hAnsiTheme="minorEastAsia" w:eastAsiaTheme="minorEastAsia" w:cstheme="minorEastAsia"/>
                <w:b w:val="0"/>
                <w:bCs w:val="0"/>
                <w:snapToGrid w:val="0"/>
                <w:color w:val="000000"/>
                <w:spacing w:val="-8"/>
                <w:kern w:val="0"/>
                <w:sz w:val="18"/>
                <w:szCs w:val="18"/>
                <w:lang w:val="en-US" w:eastAsia="zh-CN" w:bidi="ar-SA"/>
              </w:rPr>
              <w:t xml:space="preserve">  </w:t>
            </w:r>
            <w:r>
              <w:rPr>
                <w:rFonts w:hint="eastAsia" w:asciiTheme="minorEastAsia" w:hAnsiTheme="minorEastAsia" w:eastAsiaTheme="minorEastAsia" w:cstheme="minorEastAsia"/>
                <w:b w:val="0"/>
                <w:bCs w:val="0"/>
                <w:spacing w:val="-8"/>
                <w:sz w:val="18"/>
                <w:szCs w:val="18"/>
              </w:rPr>
              <w:t>粮食经营者存在下列情形之一的，属于第十二条规定的应当立案调查的违法违规行为：（二）粮食收购企业未及时向售粮者支付售粮款，时间三十日以上且涉及金额三千元以上，或者其他粮食收购者未及时向售粮者支付售粮款被举报</w:t>
            </w:r>
          </w:p>
          <w:p>
            <w:pPr>
              <w:pStyle w:val="7"/>
              <w:numPr>
                <w:ilvl w:val="0"/>
                <w:numId w:val="0"/>
              </w:numPr>
              <w:spacing w:before="82" w:line="308" w:lineRule="auto"/>
              <w:ind w:left="115" w:leftChars="0" w:hanging="10" w:firstLineChars="0"/>
              <w:jc w:val="left"/>
              <w:rPr>
                <w:rFonts w:hint="eastAsia" w:asciiTheme="minorEastAsia" w:hAnsiTheme="minorEastAsia" w:eastAsiaTheme="minorEastAsia" w:cstheme="minorEastAsia"/>
                <w:b w:val="0"/>
                <w:bCs w:val="0"/>
                <w:spacing w:val="-8"/>
                <w:sz w:val="18"/>
                <w:szCs w:val="18"/>
              </w:rPr>
            </w:pPr>
            <w:r>
              <w:rPr>
                <w:rFonts w:hint="eastAsia" w:asciiTheme="minorEastAsia" w:hAnsiTheme="minorEastAsia" w:eastAsiaTheme="minorEastAsia" w:cstheme="minorEastAsia"/>
                <w:b w:val="0"/>
                <w:bCs w:val="0"/>
                <w:snapToGrid w:val="0"/>
                <w:color w:val="000000"/>
                <w:spacing w:val="-8"/>
                <w:kern w:val="0"/>
                <w:sz w:val="18"/>
                <w:szCs w:val="18"/>
                <w:lang w:val="en-US" w:eastAsia="en-US" w:bidi="ar-SA"/>
              </w:rPr>
              <w:t>第十</w:t>
            </w:r>
            <w:r>
              <w:rPr>
                <w:rFonts w:hint="eastAsia" w:asciiTheme="minorEastAsia" w:hAnsiTheme="minorEastAsia" w:eastAsiaTheme="minorEastAsia" w:cstheme="minorEastAsia"/>
                <w:b w:val="0"/>
                <w:bCs w:val="0"/>
                <w:spacing w:val="-8"/>
                <w:sz w:val="18"/>
                <w:szCs w:val="18"/>
              </w:rPr>
              <w:t>四</w:t>
            </w:r>
            <w:r>
              <w:rPr>
                <w:rFonts w:hint="eastAsia" w:asciiTheme="minorEastAsia" w:hAnsiTheme="minorEastAsia" w:eastAsiaTheme="minorEastAsia" w:cstheme="minorEastAsia"/>
                <w:b w:val="0"/>
                <w:bCs w:val="0"/>
                <w:snapToGrid w:val="0"/>
                <w:color w:val="000000"/>
                <w:spacing w:val="-8"/>
                <w:kern w:val="0"/>
                <w:sz w:val="18"/>
                <w:szCs w:val="18"/>
                <w:lang w:val="en-US" w:eastAsia="en-US" w:bidi="ar-SA"/>
              </w:rPr>
              <w:t>条</w:t>
            </w:r>
            <w:r>
              <w:rPr>
                <w:rFonts w:hint="eastAsia" w:asciiTheme="minorEastAsia" w:hAnsiTheme="minorEastAsia" w:eastAsiaTheme="minorEastAsia" w:cstheme="minorEastAsia"/>
                <w:b w:val="0"/>
                <w:bCs w:val="0"/>
                <w:snapToGrid w:val="0"/>
                <w:color w:val="000000"/>
                <w:spacing w:val="-8"/>
                <w:kern w:val="0"/>
                <w:sz w:val="18"/>
                <w:szCs w:val="18"/>
                <w:lang w:val="en-US" w:eastAsia="zh-CN" w:bidi="ar-SA"/>
              </w:rPr>
              <w:t xml:space="preserve">  </w:t>
            </w:r>
            <w:r>
              <w:rPr>
                <w:rFonts w:hint="eastAsia" w:asciiTheme="minorEastAsia" w:hAnsiTheme="minorEastAsia" w:eastAsiaTheme="minorEastAsia" w:cstheme="minorEastAsia"/>
                <w:b w:val="0"/>
                <w:bCs w:val="0"/>
                <w:spacing w:val="-8"/>
                <w:sz w:val="18"/>
                <w:szCs w:val="18"/>
              </w:rPr>
              <w:t>粮食经营者在政策性粮食业务中，存在下列情形之一的，属于第十二条规定的应当立案调查的违法违规行为：（一）政策性粮食收购时，未及时向售粮者支付售粮款；</w:t>
            </w:r>
          </w:p>
          <w:p>
            <w:pPr>
              <w:pStyle w:val="7"/>
              <w:spacing w:before="82" w:line="308" w:lineRule="auto"/>
              <w:ind w:left="35" w:firstLine="6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4"/>
                <w:sz w:val="18"/>
                <w:szCs w:val="18"/>
              </w:rPr>
              <w:t>第十五条 应当立案调查的，立案决定应于发现涉嫌违法违规行为之日起十五个工作日内，经粮食和储备部门负责人批准后作出。</w:t>
            </w:r>
          </w:p>
        </w:tc>
        <w:tc>
          <w:tcPr>
            <w:tcW w:w="1219" w:type="dxa"/>
            <w:vAlign w:val="top"/>
          </w:tcPr>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4"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spacing w:line="245" w:lineRule="auto"/>
              <w:jc w:val="left"/>
              <w:rPr>
                <w:rFonts w:hint="eastAsia" w:asciiTheme="minorEastAsia" w:hAnsiTheme="minorEastAsia" w:eastAsiaTheme="minorEastAsia" w:cstheme="minorEastAsia"/>
                <w:sz w:val="21"/>
              </w:rPr>
            </w:pPr>
          </w:p>
          <w:p>
            <w:pPr>
              <w:pStyle w:val="7"/>
              <w:spacing w:before="46" w:line="227" w:lineRule="auto"/>
              <w:ind w:left="537"/>
              <w:jc w:val="left"/>
              <w:rPr>
                <w:rFonts w:hint="eastAsia" w:asciiTheme="minorEastAsia" w:hAnsiTheme="minorEastAsia" w:eastAsiaTheme="minorEastAsia" w:cstheme="minorEastAsia"/>
                <w:sz w:val="14"/>
                <w:szCs w:val="14"/>
              </w:rPr>
            </w:pPr>
            <w:r>
              <w:rPr>
                <w:rFonts w:hint="eastAsia" w:asciiTheme="minorEastAsia" w:hAnsiTheme="minorEastAsia" w:eastAsiaTheme="minorEastAsia" w:cstheme="minorEastAsia"/>
                <w:b/>
                <w:bCs/>
                <w:spacing w:val="-2"/>
                <w:sz w:val="14"/>
                <w:szCs w:val="14"/>
              </w:rPr>
              <w:t>★</w:t>
            </w:r>
          </w:p>
        </w:tc>
        <w:tc>
          <w:tcPr>
            <w:tcW w:w="3518" w:type="dxa"/>
            <w:vAlign w:val="top"/>
          </w:tcPr>
          <w:p>
            <w:pPr>
              <w:spacing w:line="335" w:lineRule="auto"/>
              <w:jc w:val="left"/>
              <w:rPr>
                <w:rFonts w:hint="eastAsia" w:asciiTheme="minorEastAsia" w:hAnsiTheme="minorEastAsia" w:eastAsiaTheme="minorEastAsia" w:cstheme="minorEastAsia"/>
                <w:b w:val="0"/>
                <w:bCs w:val="0"/>
                <w:sz w:val="18"/>
                <w:szCs w:val="18"/>
              </w:rPr>
            </w:pPr>
          </w:p>
          <w:p>
            <w:pPr>
              <w:spacing w:line="336" w:lineRule="auto"/>
              <w:jc w:val="left"/>
              <w:rPr>
                <w:rFonts w:hint="eastAsia" w:asciiTheme="minorEastAsia" w:hAnsiTheme="minorEastAsia" w:eastAsiaTheme="minorEastAsia" w:cstheme="minorEastAsia"/>
                <w:b w:val="0"/>
                <w:bCs w:val="0"/>
                <w:sz w:val="18"/>
                <w:szCs w:val="18"/>
              </w:rPr>
            </w:pPr>
          </w:p>
          <w:p>
            <w:pPr>
              <w:pStyle w:val="7"/>
              <w:numPr>
                <w:ilvl w:val="0"/>
                <w:numId w:val="1"/>
              </w:numPr>
              <w:spacing w:before="61" w:line="289" w:lineRule="auto"/>
              <w:ind w:left="49" w:firstLine="58"/>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6"/>
                <w:sz w:val="18"/>
                <w:szCs w:val="18"/>
              </w:rPr>
              <w:t>推行收购资金专户管理，要求所有备案收</w:t>
            </w:r>
            <w:r>
              <w:rPr>
                <w:rFonts w:hint="eastAsia" w:asciiTheme="minorEastAsia" w:hAnsiTheme="minorEastAsia" w:eastAsiaTheme="minorEastAsia" w:cstheme="minorEastAsia"/>
                <w:b w:val="0"/>
                <w:bCs w:val="0"/>
                <w:spacing w:val="-5"/>
                <w:sz w:val="18"/>
                <w:szCs w:val="18"/>
              </w:rPr>
              <w:t>购企业在农发行设立“售粮款专用账户”</w:t>
            </w:r>
            <w:r>
              <w:rPr>
                <w:rFonts w:hint="eastAsia" w:asciiTheme="minorEastAsia" w:hAnsiTheme="minorEastAsia" w:eastAsiaTheme="minorEastAsia" w:cstheme="minorEastAsia"/>
                <w:b w:val="0"/>
                <w:bCs w:val="0"/>
                <w:spacing w:val="-5"/>
                <w:sz w:val="18"/>
                <w:szCs w:val="18"/>
                <w:lang w:eastAsia="zh-CN"/>
              </w:rPr>
              <w:t>，</w:t>
            </w:r>
            <w:r>
              <w:rPr>
                <w:rFonts w:hint="eastAsia" w:asciiTheme="minorEastAsia" w:hAnsiTheme="minorEastAsia" w:eastAsiaTheme="minorEastAsia" w:cstheme="minorEastAsia"/>
                <w:b w:val="0"/>
                <w:bCs w:val="0"/>
                <w:spacing w:val="-6"/>
                <w:sz w:val="18"/>
                <w:szCs w:val="18"/>
              </w:rPr>
              <w:t>实行收购资金封闭运行。企业需提前存入</w:t>
            </w:r>
            <w:r>
              <w:rPr>
                <w:rFonts w:hint="eastAsia" w:asciiTheme="minorEastAsia" w:hAnsiTheme="minorEastAsia" w:eastAsiaTheme="minorEastAsia" w:cstheme="minorEastAsia"/>
                <w:b w:val="0"/>
                <w:bCs w:val="0"/>
                <w:spacing w:val="-2"/>
                <w:sz w:val="18"/>
                <w:szCs w:val="18"/>
              </w:rPr>
              <w:t>不低于预估收购量30%的履约保证金，由</w:t>
            </w:r>
            <w:r>
              <w:rPr>
                <w:rFonts w:hint="eastAsia" w:asciiTheme="minorEastAsia" w:hAnsiTheme="minorEastAsia" w:eastAsiaTheme="minorEastAsia" w:cstheme="minorEastAsia"/>
                <w:b w:val="0"/>
                <w:bCs w:val="0"/>
                <w:spacing w:val="-4"/>
                <w:sz w:val="18"/>
                <w:szCs w:val="18"/>
              </w:rPr>
              <w:t>银行监管支付流向。(依据：《粮食流通</w:t>
            </w:r>
            <w:r>
              <w:rPr>
                <w:rFonts w:hint="eastAsia" w:asciiTheme="minorEastAsia" w:hAnsiTheme="minorEastAsia" w:eastAsiaTheme="minorEastAsia" w:cstheme="minorEastAsia"/>
                <w:b w:val="0"/>
                <w:bCs w:val="0"/>
                <w:spacing w:val="3"/>
                <w:sz w:val="18"/>
                <w:szCs w:val="18"/>
              </w:rPr>
              <w:t>管理条例》第四十三条)</w:t>
            </w:r>
          </w:p>
          <w:p>
            <w:pPr>
              <w:pStyle w:val="7"/>
              <w:spacing w:before="91" w:line="289" w:lineRule="auto"/>
              <w:ind w:left="84" w:firstLine="4"/>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6"/>
                <w:sz w:val="18"/>
                <w:szCs w:val="18"/>
              </w:rPr>
              <w:t>2.实施支付进度穿透式监测，通过粮食购销</w:t>
            </w:r>
            <w:r>
              <w:rPr>
                <w:rFonts w:hint="eastAsia" w:asciiTheme="minorEastAsia" w:hAnsiTheme="minorEastAsia" w:eastAsiaTheme="minorEastAsia" w:cstheme="minorEastAsia"/>
                <w:b w:val="0"/>
                <w:bCs w:val="0"/>
                <w:spacing w:val="4"/>
                <w:sz w:val="18"/>
                <w:szCs w:val="18"/>
              </w:rPr>
              <w:t xml:space="preserve">  </w:t>
            </w:r>
            <w:r>
              <w:rPr>
                <w:rFonts w:hint="eastAsia" w:asciiTheme="minorEastAsia" w:hAnsiTheme="minorEastAsia" w:eastAsiaTheme="minorEastAsia" w:cstheme="minorEastAsia"/>
                <w:b w:val="0"/>
                <w:bCs w:val="0"/>
                <w:spacing w:val="-12"/>
                <w:sz w:val="18"/>
                <w:szCs w:val="18"/>
              </w:rPr>
              <w:t>监管信息化平台，对接企业银行账户数据，</w:t>
            </w:r>
            <w:r>
              <w:rPr>
                <w:rFonts w:hint="eastAsia" w:asciiTheme="minorEastAsia" w:hAnsiTheme="minorEastAsia" w:eastAsiaTheme="minorEastAsia" w:cstheme="minorEastAsia"/>
                <w:b w:val="0"/>
                <w:bCs w:val="0"/>
                <w:spacing w:val="2"/>
                <w:sz w:val="18"/>
                <w:szCs w:val="18"/>
              </w:rPr>
              <w:t xml:space="preserve"> </w:t>
            </w:r>
            <w:r>
              <w:rPr>
                <w:rFonts w:hint="eastAsia" w:asciiTheme="minorEastAsia" w:hAnsiTheme="minorEastAsia" w:eastAsiaTheme="minorEastAsia" w:cstheme="minorEastAsia"/>
                <w:b w:val="0"/>
                <w:bCs w:val="0"/>
                <w:spacing w:val="-7"/>
                <w:sz w:val="18"/>
                <w:szCs w:val="18"/>
              </w:rPr>
              <w:t>对单日收购量超500吨的重点企业，实行</w:t>
            </w:r>
            <w:r>
              <w:rPr>
                <w:rFonts w:hint="eastAsia" w:asciiTheme="minorEastAsia" w:hAnsiTheme="minorEastAsia" w:eastAsiaTheme="minorEastAsia" w:cstheme="minorEastAsia"/>
                <w:b w:val="0"/>
                <w:bCs w:val="0"/>
                <w:spacing w:val="2"/>
                <w:sz w:val="18"/>
                <w:szCs w:val="18"/>
              </w:rPr>
              <w:t xml:space="preserve">   </w:t>
            </w:r>
            <w:r>
              <w:rPr>
                <w:rFonts w:hint="eastAsia" w:asciiTheme="minorEastAsia" w:hAnsiTheme="minorEastAsia" w:eastAsiaTheme="minorEastAsia" w:cstheme="minorEastAsia"/>
                <w:b w:val="0"/>
                <w:bCs w:val="0"/>
                <w:spacing w:val="-12"/>
                <w:sz w:val="18"/>
                <w:szCs w:val="18"/>
              </w:rPr>
              <w:t>“收购量-付款额”实时比对预警，延迟超</w:t>
            </w:r>
            <w:r>
              <w:rPr>
                <w:rFonts w:hint="eastAsia" w:asciiTheme="minorEastAsia" w:hAnsiTheme="minorEastAsia" w:eastAsiaTheme="minorEastAsia" w:cstheme="minorEastAsia"/>
                <w:b w:val="0"/>
                <w:bCs w:val="0"/>
                <w:spacing w:val="6"/>
                <w:sz w:val="18"/>
                <w:szCs w:val="18"/>
              </w:rPr>
              <w:t xml:space="preserve">  </w:t>
            </w:r>
            <w:r>
              <w:rPr>
                <w:rFonts w:hint="eastAsia" w:asciiTheme="minorEastAsia" w:hAnsiTheme="minorEastAsia" w:eastAsiaTheme="minorEastAsia" w:cstheme="minorEastAsia"/>
                <w:b w:val="0"/>
                <w:bCs w:val="0"/>
                <w:spacing w:val="-6"/>
                <w:sz w:val="18"/>
                <w:szCs w:val="18"/>
              </w:rPr>
              <w:t>24小时自动推送属地粮储部门核查。</w:t>
            </w:r>
          </w:p>
          <w:p>
            <w:pPr>
              <w:pStyle w:val="7"/>
              <w:spacing w:before="86" w:line="260" w:lineRule="auto"/>
              <w:ind w:left="189" w:hanging="100"/>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3"/>
                <w:sz w:val="18"/>
                <w:szCs w:val="18"/>
              </w:rPr>
              <w:t>3.完</w:t>
            </w:r>
            <w:r>
              <w:rPr>
                <w:rFonts w:hint="eastAsia" w:asciiTheme="minorEastAsia" w:hAnsiTheme="minorEastAsia" w:eastAsiaTheme="minorEastAsia" w:cstheme="minorEastAsia"/>
                <w:b w:val="0"/>
                <w:bCs w:val="0"/>
                <w:spacing w:val="-12"/>
                <w:sz w:val="18"/>
                <w:szCs w:val="18"/>
              </w:rPr>
              <w:t>善信用分级管理制度，按支付及时性</w:t>
            </w:r>
            <w:r>
              <w:rPr>
                <w:rFonts w:hint="eastAsia" w:asciiTheme="minorEastAsia" w:hAnsiTheme="minorEastAsia" w:eastAsiaTheme="minorEastAsia" w:cstheme="minorEastAsia"/>
                <w:b w:val="0"/>
                <w:bCs w:val="0"/>
                <w:spacing w:val="-9"/>
                <w:sz w:val="18"/>
                <w:szCs w:val="18"/>
              </w:rPr>
              <w:t>将</w:t>
            </w:r>
            <w:r>
              <w:rPr>
                <w:rFonts w:hint="eastAsia" w:asciiTheme="minorEastAsia" w:hAnsiTheme="minorEastAsia" w:eastAsiaTheme="minorEastAsia" w:cstheme="minorEastAsia"/>
                <w:b w:val="0"/>
                <w:bCs w:val="0"/>
                <w:spacing w:val="7"/>
                <w:sz w:val="18"/>
                <w:szCs w:val="18"/>
              </w:rPr>
              <w:t xml:space="preserve"> </w:t>
            </w:r>
            <w:r>
              <w:rPr>
                <w:rFonts w:hint="eastAsia" w:asciiTheme="minorEastAsia" w:hAnsiTheme="minorEastAsia" w:eastAsiaTheme="minorEastAsia" w:cstheme="minorEastAsia"/>
                <w:b w:val="0"/>
                <w:bCs w:val="0"/>
                <w:spacing w:val="1"/>
                <w:sz w:val="18"/>
                <w:szCs w:val="18"/>
              </w:rPr>
              <w:t>企业分为A(7日内付款)、B(15日内)、</w:t>
            </w:r>
          </w:p>
          <w:p>
            <w:pPr>
              <w:pStyle w:val="7"/>
              <w:spacing w:before="74" w:line="269" w:lineRule="auto"/>
              <w:ind w:left="89" w:firstLine="49"/>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rPr>
              <w:t>C(超15日)三级，C级企业列入重点监管</w:t>
            </w:r>
            <w:r>
              <w:rPr>
                <w:rFonts w:hint="eastAsia" w:asciiTheme="minorEastAsia" w:hAnsiTheme="minorEastAsia" w:eastAsiaTheme="minorEastAsia" w:cstheme="minorEastAsia"/>
                <w:b w:val="0"/>
                <w:bCs w:val="0"/>
                <w:spacing w:val="5"/>
                <w:sz w:val="18"/>
                <w:szCs w:val="18"/>
              </w:rPr>
              <w:t xml:space="preserve">  </w:t>
            </w:r>
            <w:r>
              <w:rPr>
                <w:rFonts w:hint="eastAsia" w:asciiTheme="minorEastAsia" w:hAnsiTheme="minorEastAsia" w:eastAsiaTheme="minorEastAsia" w:cstheme="minorEastAsia"/>
                <w:b w:val="0"/>
                <w:bCs w:val="0"/>
                <w:spacing w:val="-3"/>
                <w:sz w:val="18"/>
                <w:szCs w:val="18"/>
              </w:rPr>
              <w:t>名单，限制其参与政策性粮食收储业务。</w:t>
            </w:r>
          </w:p>
          <w:p>
            <w:pPr>
              <w:pStyle w:val="7"/>
              <w:spacing w:before="75" w:line="287" w:lineRule="auto"/>
              <w:ind w:left="49" w:firstLine="48"/>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17"/>
                <w:sz w:val="18"/>
                <w:szCs w:val="18"/>
              </w:rPr>
              <w:t>4.对恶意拖欠企业，由粮储部门通报市场监</w:t>
            </w:r>
            <w:r>
              <w:rPr>
                <w:rFonts w:hint="eastAsia" w:asciiTheme="minorEastAsia" w:hAnsiTheme="minorEastAsia" w:eastAsiaTheme="minorEastAsia" w:cstheme="minorEastAsia"/>
                <w:b w:val="0"/>
                <w:bCs w:val="0"/>
                <w:spacing w:val="-8"/>
                <w:sz w:val="18"/>
                <w:szCs w:val="18"/>
              </w:rPr>
              <w:t>管、税务、银行等单位实施联合惩戒。市场监管：限制企业变更登记、新增经营范</w:t>
            </w:r>
            <w:r>
              <w:rPr>
                <w:rFonts w:hint="eastAsia" w:asciiTheme="minorEastAsia" w:hAnsiTheme="minorEastAsia" w:eastAsiaTheme="minorEastAsia" w:cstheme="minorEastAsia"/>
                <w:b w:val="0"/>
                <w:bCs w:val="0"/>
                <w:spacing w:val="-10"/>
                <w:sz w:val="18"/>
                <w:szCs w:val="18"/>
              </w:rPr>
              <w:t>围；税务：提高税务稽查频次；人民银行</w:t>
            </w:r>
            <w:r>
              <w:rPr>
                <w:rFonts w:hint="eastAsia" w:asciiTheme="minorEastAsia" w:hAnsiTheme="minorEastAsia" w:eastAsiaTheme="minorEastAsia" w:cstheme="minorEastAsia"/>
                <w:b w:val="0"/>
                <w:bCs w:val="0"/>
                <w:spacing w:val="-10"/>
                <w:sz w:val="18"/>
                <w:szCs w:val="18"/>
                <w:lang w:eastAsia="zh-CN"/>
              </w:rPr>
              <w:t>：</w:t>
            </w:r>
            <w:r>
              <w:rPr>
                <w:rFonts w:hint="eastAsia" w:asciiTheme="minorEastAsia" w:hAnsiTheme="minorEastAsia" w:eastAsiaTheme="minorEastAsia" w:cstheme="minorEastAsia"/>
                <w:b w:val="0"/>
                <w:bCs w:val="0"/>
                <w:sz w:val="18"/>
                <w:szCs w:val="18"/>
              </w:rPr>
              <w:t xml:space="preserve"> </w:t>
            </w:r>
            <w:r>
              <w:rPr>
                <w:rFonts w:hint="eastAsia" w:asciiTheme="minorEastAsia" w:hAnsiTheme="minorEastAsia" w:eastAsiaTheme="minorEastAsia" w:cstheme="minorEastAsia"/>
                <w:b w:val="0"/>
                <w:bCs w:val="0"/>
                <w:spacing w:val="-4"/>
                <w:sz w:val="18"/>
                <w:szCs w:val="18"/>
              </w:rPr>
              <w:t>降低授信额度或提前收回贷款。</w:t>
            </w:r>
          </w:p>
        </w:tc>
        <w:tc>
          <w:tcPr>
            <w:tcW w:w="1773" w:type="dxa"/>
            <w:vAlign w:val="top"/>
          </w:tcPr>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spacing w:val="-1"/>
                <w:sz w:val="18"/>
                <w:szCs w:val="18"/>
                <w:lang w:eastAsia="zh-CN"/>
              </w:rPr>
            </w:pPr>
          </w:p>
          <w:p>
            <w:pPr>
              <w:pStyle w:val="7"/>
              <w:spacing w:before="105" w:line="219" w:lineRule="auto"/>
              <w:jc w:val="center"/>
              <w:rPr>
                <w:rFonts w:hint="eastAsia" w:asciiTheme="minorEastAsia" w:hAnsiTheme="minorEastAsia" w:eastAsiaTheme="minorEastAsia" w:cstheme="minorEastAsia"/>
                <w:b w:val="0"/>
                <w:bCs w:val="0"/>
                <w:spacing w:val="-3"/>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pacing w:val="2"/>
                <w:sz w:val="18"/>
                <w:szCs w:val="18"/>
                <w:lang w:eastAsia="zh-CN"/>
              </w:rPr>
              <w:t>局</w:t>
            </w:r>
            <w:r>
              <w:rPr>
                <w:rFonts w:hint="eastAsia" w:asciiTheme="minorEastAsia" w:hAnsiTheme="minorEastAsia" w:eastAsiaTheme="minorEastAsia" w:cstheme="minorEastAsia"/>
                <w:b w:val="0"/>
                <w:bCs w:val="0"/>
                <w:spacing w:val="-3"/>
                <w:sz w:val="18"/>
                <w:szCs w:val="18"/>
              </w:rPr>
              <w:t>粮食</w:t>
            </w:r>
            <w:r>
              <w:rPr>
                <w:rFonts w:hint="eastAsia" w:asciiTheme="minorEastAsia" w:hAnsiTheme="minorEastAsia" w:eastAsiaTheme="minorEastAsia" w:cstheme="minorEastAsia"/>
                <w:b w:val="0"/>
                <w:bCs w:val="0"/>
                <w:spacing w:val="-3"/>
                <w:sz w:val="18"/>
                <w:szCs w:val="18"/>
                <w:lang w:eastAsia="zh-CN"/>
              </w:rPr>
              <w:t>股</w:t>
            </w:r>
          </w:p>
          <w:p>
            <w:pPr>
              <w:pStyle w:val="7"/>
              <w:spacing w:before="105" w:line="219" w:lineRule="auto"/>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pacing w:val="-3"/>
                <w:sz w:val="18"/>
                <w:szCs w:val="18"/>
                <w:lang w:eastAsia="zh-CN"/>
              </w:rPr>
              <w:t>（联系</w:t>
            </w:r>
            <w:r>
              <w:rPr>
                <w:rFonts w:hint="eastAsia" w:asciiTheme="minorEastAsia" w:hAnsiTheme="minorEastAsia" w:eastAsiaTheme="minorEastAsia" w:cstheme="minorEastAsia"/>
                <w:b w:val="0"/>
                <w:bCs w:val="0"/>
                <w:spacing w:val="-1"/>
                <w:sz w:val="18"/>
                <w:szCs w:val="18"/>
              </w:rPr>
              <w:t>电话：</w:t>
            </w:r>
            <w:r>
              <w:rPr>
                <w:rFonts w:hint="eastAsia" w:asciiTheme="minorEastAsia" w:hAnsiTheme="minorEastAsia" w:eastAsiaTheme="minorEastAsia" w:cstheme="minorEastAsia"/>
                <w:b w:val="0"/>
                <w:bCs w:val="0"/>
                <w:spacing w:val="-1"/>
                <w:sz w:val="18"/>
                <w:szCs w:val="18"/>
                <w:lang w:val="en-US" w:eastAsia="zh-CN"/>
              </w:rPr>
              <w:t>0714-8712233）</w:t>
            </w:r>
          </w:p>
        </w:tc>
      </w:tr>
    </w:tbl>
    <w:p>
      <w:pPr>
        <w:jc w:val="left"/>
        <w:sectPr>
          <w:footerReference r:id="rId7" w:type="default"/>
          <w:pgSz w:w="16840" w:h="11960"/>
          <w:pgMar w:top="1016" w:right="875" w:bottom="1218" w:left="875" w:header="0" w:footer="1103" w:gutter="0"/>
          <w:cols w:space="720" w:num="1"/>
        </w:sectPr>
      </w:pPr>
    </w:p>
    <w:p>
      <w:pPr>
        <w:spacing w:before="11"/>
        <w:jc w:val="left"/>
      </w:pPr>
    </w:p>
    <w:p>
      <w:pPr>
        <w:spacing w:before="11"/>
        <w:jc w:val="left"/>
      </w:pPr>
    </w:p>
    <w:p>
      <w:pPr>
        <w:spacing w:before="11"/>
        <w:jc w:val="left"/>
      </w:pPr>
    </w:p>
    <w:tbl>
      <w:tblPr>
        <w:tblStyle w:val="6"/>
        <w:tblW w:w="15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99"/>
        <w:gridCol w:w="1699"/>
        <w:gridCol w:w="4357"/>
        <w:gridCol w:w="1229"/>
        <w:gridCol w:w="3498"/>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14" w:type="dxa"/>
            <w:vAlign w:val="top"/>
          </w:tcPr>
          <w:p>
            <w:pPr>
              <w:pStyle w:val="7"/>
              <w:spacing w:before="193" w:line="221" w:lineRule="auto"/>
              <w:ind w:left="148"/>
              <w:jc w:val="left"/>
              <w:rPr>
                <w:sz w:val="25"/>
                <w:szCs w:val="25"/>
              </w:rPr>
            </w:pPr>
            <w:r>
              <w:rPr>
                <w:b/>
                <w:bCs/>
                <w:spacing w:val="-5"/>
                <w:sz w:val="25"/>
                <w:szCs w:val="25"/>
              </w:rPr>
              <w:t>序号</w:t>
            </w:r>
          </w:p>
        </w:tc>
        <w:tc>
          <w:tcPr>
            <w:tcW w:w="1699" w:type="dxa"/>
            <w:vAlign w:val="top"/>
          </w:tcPr>
          <w:p>
            <w:pPr>
              <w:pStyle w:val="7"/>
              <w:spacing w:before="192" w:line="220" w:lineRule="auto"/>
              <w:ind w:left="344"/>
              <w:jc w:val="left"/>
              <w:rPr>
                <w:sz w:val="25"/>
                <w:szCs w:val="25"/>
              </w:rPr>
            </w:pPr>
            <w:r>
              <w:rPr>
                <w:b/>
                <w:bCs/>
                <w:spacing w:val="-1"/>
                <w:sz w:val="25"/>
                <w:szCs w:val="25"/>
              </w:rPr>
              <w:t>指导事项</w:t>
            </w:r>
          </w:p>
        </w:tc>
        <w:tc>
          <w:tcPr>
            <w:tcW w:w="1699" w:type="dxa"/>
            <w:vAlign w:val="top"/>
          </w:tcPr>
          <w:p>
            <w:pPr>
              <w:pStyle w:val="7"/>
              <w:spacing w:before="41" w:line="215" w:lineRule="auto"/>
              <w:ind w:left="594" w:right="87" w:hanging="499"/>
              <w:jc w:val="left"/>
              <w:rPr>
                <w:sz w:val="25"/>
                <w:szCs w:val="25"/>
              </w:rPr>
            </w:pPr>
            <w:r>
              <w:rPr>
                <w:b/>
                <w:bCs/>
                <w:spacing w:val="-2"/>
                <w:sz w:val="25"/>
                <w:szCs w:val="25"/>
              </w:rPr>
              <w:t>常见违法行为</w:t>
            </w:r>
            <w:r>
              <w:rPr>
                <w:sz w:val="25"/>
                <w:szCs w:val="25"/>
              </w:rPr>
              <w:t xml:space="preserve"> </w:t>
            </w:r>
            <w:r>
              <w:rPr>
                <w:b/>
                <w:bCs/>
                <w:spacing w:val="-5"/>
                <w:sz w:val="25"/>
                <w:szCs w:val="25"/>
              </w:rPr>
              <w:t>表现</w:t>
            </w:r>
          </w:p>
        </w:tc>
        <w:tc>
          <w:tcPr>
            <w:tcW w:w="4357" w:type="dxa"/>
            <w:vAlign w:val="top"/>
          </w:tcPr>
          <w:p>
            <w:pPr>
              <w:pStyle w:val="7"/>
              <w:spacing w:before="190" w:line="219" w:lineRule="auto"/>
              <w:ind w:left="1046"/>
              <w:jc w:val="left"/>
              <w:rPr>
                <w:sz w:val="25"/>
                <w:szCs w:val="25"/>
              </w:rPr>
            </w:pPr>
            <w:r>
              <w:rPr>
                <w:b/>
                <w:bCs/>
                <w:spacing w:val="-4"/>
                <w:sz w:val="25"/>
                <w:szCs w:val="25"/>
              </w:rPr>
              <w:t>法律依据及违法责任</w:t>
            </w:r>
          </w:p>
        </w:tc>
        <w:tc>
          <w:tcPr>
            <w:tcW w:w="1229" w:type="dxa"/>
            <w:vAlign w:val="top"/>
          </w:tcPr>
          <w:p>
            <w:pPr>
              <w:pStyle w:val="7"/>
              <w:spacing w:before="191" w:line="219" w:lineRule="auto"/>
              <w:ind w:left="109"/>
              <w:jc w:val="left"/>
              <w:rPr>
                <w:sz w:val="25"/>
                <w:szCs w:val="25"/>
              </w:rPr>
            </w:pPr>
            <w:r>
              <w:rPr>
                <w:b/>
                <w:bCs/>
                <w:spacing w:val="-6"/>
                <w:sz w:val="25"/>
                <w:szCs w:val="25"/>
              </w:rPr>
              <w:t>发生频率</w:t>
            </w:r>
          </w:p>
        </w:tc>
        <w:tc>
          <w:tcPr>
            <w:tcW w:w="3498" w:type="dxa"/>
            <w:vAlign w:val="top"/>
          </w:tcPr>
          <w:p>
            <w:pPr>
              <w:pStyle w:val="7"/>
              <w:spacing w:before="183" w:line="220" w:lineRule="auto"/>
              <w:ind w:left="1480"/>
              <w:jc w:val="left"/>
              <w:rPr>
                <w:sz w:val="27"/>
                <w:szCs w:val="27"/>
              </w:rPr>
            </w:pPr>
            <w:r>
              <w:rPr>
                <w:b/>
                <w:bCs/>
                <w:spacing w:val="-7"/>
                <w:sz w:val="27"/>
                <w:szCs w:val="27"/>
              </w:rPr>
              <w:t>建议</w:t>
            </w:r>
          </w:p>
        </w:tc>
        <w:tc>
          <w:tcPr>
            <w:tcW w:w="1784" w:type="dxa"/>
            <w:vAlign w:val="top"/>
          </w:tcPr>
          <w:p>
            <w:pPr>
              <w:pStyle w:val="7"/>
              <w:spacing w:before="41" w:line="219" w:lineRule="auto"/>
              <w:ind w:left="392"/>
              <w:jc w:val="left"/>
              <w:rPr>
                <w:sz w:val="25"/>
                <w:szCs w:val="25"/>
              </w:rPr>
            </w:pPr>
            <w:r>
              <w:rPr>
                <w:b/>
                <w:bCs/>
                <w:spacing w:val="2"/>
                <w:sz w:val="25"/>
                <w:szCs w:val="25"/>
              </w:rPr>
              <w:t>指导部门</w:t>
            </w:r>
          </w:p>
          <w:p>
            <w:pPr>
              <w:pStyle w:val="7"/>
              <w:spacing w:before="11" w:line="202" w:lineRule="auto"/>
              <w:ind w:left="202"/>
              <w:jc w:val="left"/>
              <w:rPr>
                <w:sz w:val="25"/>
                <w:szCs w:val="25"/>
              </w:rPr>
            </w:pPr>
            <w:r>
              <w:rPr>
                <w:b/>
                <w:bCs/>
                <w:spacing w:val="3"/>
                <w:sz w:val="25"/>
                <w:szCs w:val="25"/>
              </w:rPr>
              <w:t>(机构/科室)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6" w:hRule="atLeast"/>
        </w:trPr>
        <w:tc>
          <w:tcPr>
            <w:tcW w:w="814" w:type="dxa"/>
            <w:vAlign w:val="top"/>
          </w:tcPr>
          <w:p>
            <w:pPr>
              <w:spacing w:line="248" w:lineRule="auto"/>
              <w:jc w:val="left"/>
              <w:rPr>
                <w:rFonts w:ascii="Arial"/>
                <w:sz w:val="21"/>
              </w:rPr>
            </w:pPr>
          </w:p>
          <w:p>
            <w:pPr>
              <w:spacing w:line="248" w:lineRule="auto"/>
              <w:jc w:val="left"/>
              <w:rPr>
                <w:rFonts w:ascii="Arial"/>
                <w:sz w:val="21"/>
              </w:rPr>
            </w:pPr>
          </w:p>
          <w:p>
            <w:pPr>
              <w:spacing w:line="248" w:lineRule="auto"/>
              <w:jc w:val="left"/>
              <w:rPr>
                <w:rFonts w:ascii="Arial"/>
                <w:sz w:val="21"/>
              </w:rPr>
            </w:pPr>
          </w:p>
          <w:p>
            <w:pPr>
              <w:spacing w:line="248"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spacing w:line="249" w:lineRule="auto"/>
              <w:jc w:val="left"/>
              <w:rPr>
                <w:rFonts w:ascii="Arial"/>
                <w:sz w:val="21"/>
              </w:rPr>
            </w:pPr>
          </w:p>
          <w:p>
            <w:pPr>
              <w:pStyle w:val="7"/>
              <w:spacing w:before="62"/>
              <w:ind w:left="347"/>
              <w:jc w:val="left"/>
            </w:pPr>
            <w:r>
              <w:rPr>
                <w:b/>
                <w:bCs/>
                <w:spacing w:val="-2"/>
              </w:rPr>
              <w:t>8</w:t>
            </w:r>
          </w:p>
        </w:tc>
        <w:tc>
          <w:tcPr>
            <w:tcW w:w="1699" w:type="dxa"/>
            <w:vAlign w:val="top"/>
          </w:tcPr>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7" w:lineRule="auto"/>
              <w:jc w:val="left"/>
              <w:rPr>
                <w:rFonts w:hint="eastAsia" w:asciiTheme="minorEastAsia" w:hAnsiTheme="minorEastAsia" w:eastAsiaTheme="minorEastAsia" w:cstheme="minorEastAsia"/>
                <w:sz w:val="21"/>
              </w:rPr>
            </w:pPr>
          </w:p>
          <w:p>
            <w:pPr>
              <w:spacing w:line="258" w:lineRule="auto"/>
              <w:jc w:val="left"/>
              <w:rPr>
                <w:rFonts w:hint="eastAsia" w:asciiTheme="minorEastAsia" w:hAnsiTheme="minorEastAsia" w:eastAsiaTheme="minorEastAsia" w:cstheme="minorEastAsia"/>
                <w:sz w:val="21"/>
              </w:rPr>
            </w:pPr>
          </w:p>
          <w:p>
            <w:pPr>
              <w:spacing w:line="258" w:lineRule="auto"/>
              <w:jc w:val="left"/>
              <w:rPr>
                <w:rFonts w:hint="eastAsia" w:asciiTheme="minorEastAsia" w:hAnsiTheme="minorEastAsia" w:eastAsiaTheme="minorEastAsia" w:cstheme="minorEastAsia"/>
                <w:sz w:val="21"/>
              </w:rPr>
            </w:pPr>
          </w:p>
          <w:p>
            <w:pPr>
              <w:pStyle w:val="7"/>
              <w:spacing w:before="61" w:line="266" w:lineRule="auto"/>
              <w:ind w:left="93" w:right="92" w:hanging="1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spacing w:val="-3"/>
                <w:sz w:val="18"/>
                <w:szCs w:val="18"/>
              </w:rPr>
              <w:t>粮食经营者违反经</w:t>
            </w:r>
            <w:r>
              <w:rPr>
                <w:rFonts w:hint="eastAsia" w:asciiTheme="minorEastAsia" w:hAnsiTheme="minorEastAsia" w:eastAsiaTheme="minorEastAsia" w:cstheme="minorEastAsia"/>
                <w:b w:val="0"/>
                <w:bCs w:val="0"/>
                <w:sz w:val="18"/>
                <w:szCs w:val="18"/>
              </w:rPr>
              <w:t>营活动</w:t>
            </w:r>
          </w:p>
        </w:tc>
        <w:tc>
          <w:tcPr>
            <w:tcW w:w="1699" w:type="dxa"/>
            <w:vAlign w:val="top"/>
          </w:tcPr>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对从事粮食收购、 销售、储存、加工  的经营者以及饲   料、工业用粮企业  未建立经营台账、 或者未按规定报送  基本数据</w:t>
            </w:r>
          </w:p>
        </w:tc>
        <w:tc>
          <w:tcPr>
            <w:tcW w:w="4357" w:type="dxa"/>
            <w:shd w:val="clear" w:color="auto" w:fill="auto"/>
            <w:vAlign w:val="top"/>
          </w:tcPr>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【法规】《粮食流通管理条例》(2004年国务院令第 407号，2021年第三次修订)</w:t>
            </w: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第四十五条</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 xml:space="preserve">“有下列情形之一的，由粮食和储备行   政管理部门责令改正，给予警告，可以并处20万元以  下罚款；情节严重的，并处20万元以上50万元以下罚  款”“(五)从事粮食收购、销售、储存、加工的粮食经营者以及饲料、工业用粮企业未建立粮食经营台账，或者未按照规定报送粮食基本数据和有关情况”。 </w:t>
            </w: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 xml:space="preserve">第五十一条 </w:t>
            </w:r>
            <w:r>
              <w:rPr>
                <w:rFonts w:hint="eastAsia" w:asciiTheme="minorEastAsia" w:hAnsiTheme="minorEastAsia" w:eastAsiaTheme="minorEastAsia" w:cstheme="minorEastAsia"/>
                <w:b w:val="0"/>
                <w:bCs w:val="0"/>
                <w:spacing w:val="-3"/>
                <w:sz w:val="18"/>
                <w:szCs w:val="18"/>
                <w:lang w:val="en-US" w:eastAsia="zh-CN"/>
              </w:rPr>
              <w:t xml:space="preserve"> </w:t>
            </w:r>
            <w:r>
              <w:rPr>
                <w:rFonts w:hint="eastAsia" w:asciiTheme="minorEastAsia" w:hAnsiTheme="minorEastAsia" w:eastAsiaTheme="minorEastAsia" w:cstheme="minorEastAsia"/>
                <w:b w:val="0"/>
                <w:bCs w:val="0"/>
                <w:spacing w:val="-3"/>
                <w:sz w:val="18"/>
                <w:szCs w:val="18"/>
              </w:rPr>
              <w:t>从事粮食经营活动的企业有违反本条例规定的违法情形且情节严重的，对其法定代表人、主要负责人、直接负责的主管人员和其他直接责任人员</w:t>
            </w:r>
            <w:r>
              <w:rPr>
                <w:rFonts w:hint="eastAsia" w:asciiTheme="minorEastAsia" w:hAnsiTheme="minorEastAsia" w:eastAsiaTheme="minorEastAsia" w:cstheme="minorEastAsia"/>
                <w:b w:val="0"/>
                <w:bCs w:val="0"/>
                <w:spacing w:val="-3"/>
                <w:sz w:val="18"/>
                <w:szCs w:val="18"/>
                <w:lang w:eastAsia="zh-CN"/>
              </w:rPr>
              <w:t>处</w:t>
            </w:r>
            <w:r>
              <w:rPr>
                <w:rFonts w:hint="eastAsia" w:asciiTheme="minorEastAsia" w:hAnsiTheme="minorEastAsia" w:eastAsiaTheme="minorEastAsia" w:cstheme="minorEastAsia"/>
                <w:b w:val="0"/>
                <w:bCs w:val="0"/>
                <w:spacing w:val="-3"/>
                <w:sz w:val="18"/>
                <w:szCs w:val="18"/>
              </w:rPr>
              <w:t>以其上一年度从本企业取得收入的1倍以上10倍以下罚款。</w:t>
            </w:r>
          </w:p>
          <w:p>
            <w:pPr>
              <w:pStyle w:val="7"/>
              <w:numPr>
                <w:ilvl w:val="0"/>
                <w:numId w:val="0"/>
              </w:numPr>
              <w:spacing w:before="82" w:line="308" w:lineRule="auto"/>
              <w:ind w:left="105" w:leftChars="0"/>
              <w:jc w:val="left"/>
              <w:rPr>
                <w:rFonts w:hint="eastAsia" w:asciiTheme="minorEastAsia" w:hAnsiTheme="minorEastAsia" w:eastAsiaTheme="minorEastAsia" w:cstheme="minorEastAsia"/>
                <w:b w:val="0"/>
                <w:bCs w:val="0"/>
                <w:spacing w:val="-8"/>
                <w:sz w:val="18"/>
                <w:szCs w:val="18"/>
              </w:rPr>
            </w:pPr>
            <w:r>
              <w:rPr>
                <w:rFonts w:hint="eastAsia" w:asciiTheme="minorEastAsia" w:hAnsiTheme="minorEastAsia" w:eastAsiaTheme="minorEastAsia" w:cstheme="minorEastAsia"/>
                <w:b w:val="0"/>
                <w:bCs w:val="0"/>
                <w:spacing w:val="-8"/>
                <w:sz w:val="18"/>
                <w:szCs w:val="18"/>
              </w:rPr>
              <w:fldChar w:fldCharType="begin"/>
            </w:r>
            <w:r>
              <w:rPr>
                <w:rFonts w:hint="eastAsia" w:asciiTheme="minorEastAsia" w:hAnsiTheme="minorEastAsia" w:eastAsiaTheme="minorEastAsia" w:cstheme="minorEastAsia"/>
                <w:b w:val="0"/>
                <w:bCs w:val="0"/>
                <w:spacing w:val="-8"/>
                <w:sz w:val="18"/>
                <w:szCs w:val="18"/>
              </w:rPr>
              <w:instrText xml:space="preserve"> HYPERLINK "https://www.waizi.org.cn/doc/138071.html" </w:instrText>
            </w:r>
            <w:r>
              <w:rPr>
                <w:rFonts w:hint="eastAsia" w:asciiTheme="minorEastAsia" w:hAnsiTheme="minorEastAsia" w:eastAsiaTheme="minorEastAsia" w:cstheme="minorEastAsia"/>
                <w:b w:val="0"/>
                <w:bCs w:val="0"/>
                <w:spacing w:val="-8"/>
                <w:sz w:val="18"/>
                <w:szCs w:val="18"/>
              </w:rPr>
              <w:fldChar w:fldCharType="separate"/>
            </w:r>
            <w:r>
              <w:rPr>
                <w:rFonts w:hint="eastAsia" w:asciiTheme="minorEastAsia" w:hAnsiTheme="minorEastAsia" w:eastAsiaTheme="minorEastAsia" w:cstheme="minorEastAsia"/>
                <w:b w:val="0"/>
                <w:bCs w:val="0"/>
                <w:spacing w:val="-8"/>
                <w:sz w:val="18"/>
                <w:szCs w:val="18"/>
              </w:rPr>
              <w:t>《粮食流通行政执法办法》国家发展和改革委员会令2022年第53号（全文）</w:t>
            </w:r>
            <w:r>
              <w:rPr>
                <w:rFonts w:hint="eastAsia" w:asciiTheme="minorEastAsia" w:hAnsiTheme="minorEastAsia" w:eastAsiaTheme="minorEastAsia" w:cstheme="minorEastAsia"/>
                <w:b w:val="0"/>
                <w:bCs w:val="0"/>
                <w:spacing w:val="-8"/>
                <w:sz w:val="18"/>
                <w:szCs w:val="18"/>
              </w:rPr>
              <w:fldChar w:fldCharType="end"/>
            </w:r>
          </w:p>
          <w:p>
            <w:pPr>
              <w:pStyle w:val="7"/>
              <w:numPr>
                <w:ilvl w:val="0"/>
                <w:numId w:val="2"/>
              </w:numPr>
              <w:spacing w:before="61" w:line="266" w:lineRule="auto"/>
              <w:ind w:left="115" w:leftChars="0" w:right="92" w:rightChars="0" w:hanging="10" w:firstLineChars="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napToGrid w:val="0"/>
                <w:color w:val="000000"/>
                <w:spacing w:val="-3"/>
                <w:kern w:val="0"/>
                <w:sz w:val="18"/>
                <w:szCs w:val="18"/>
                <w:lang w:val="en-US" w:eastAsia="zh-CN" w:bidi="ar-SA"/>
              </w:rPr>
              <w:t xml:space="preserve"> </w:t>
            </w:r>
            <w:r>
              <w:rPr>
                <w:rFonts w:hint="eastAsia" w:asciiTheme="minorEastAsia" w:hAnsiTheme="minorEastAsia" w:eastAsiaTheme="minorEastAsia" w:cstheme="minorEastAsia"/>
                <w:b w:val="0"/>
                <w:bCs w:val="0"/>
                <w:spacing w:val="-3"/>
                <w:sz w:val="18"/>
                <w:szCs w:val="18"/>
              </w:rPr>
              <w:t>粮食经营者存在下列情形之一的，属于第十二条规定的应当立案调查的违法违规行为：（九）从事粮食收购、销售、储存、加工的经营者以及饲 料、工业用粮企业，未按要求建立粮食经营台账，或者未按规定报送粮食基本数据和有关情况；</w:t>
            </w:r>
          </w:p>
          <w:p>
            <w:pPr>
              <w:pStyle w:val="7"/>
              <w:numPr>
                <w:ilvl w:val="0"/>
                <w:numId w:val="0"/>
              </w:numPr>
              <w:spacing w:before="61" w:line="266" w:lineRule="auto"/>
              <w:ind w:left="105" w:leftChars="0" w:right="92" w:rightChars="0"/>
              <w:jc w:val="left"/>
              <w:rPr>
                <w:rFonts w:hint="eastAsia" w:asciiTheme="minorEastAsia" w:hAnsiTheme="minorEastAsia" w:eastAsiaTheme="minorEastAsia" w:cstheme="minorEastAsia"/>
                <w:b w:val="0"/>
                <w:bCs w:val="0"/>
                <w:snapToGrid w:val="0"/>
                <w:color w:val="000000"/>
                <w:spacing w:val="-3"/>
                <w:kern w:val="0"/>
                <w:sz w:val="18"/>
                <w:szCs w:val="18"/>
                <w:lang w:val="en-US" w:eastAsia="en-US" w:bidi="ar-SA"/>
              </w:rPr>
            </w:pPr>
            <w:r>
              <w:rPr>
                <w:rFonts w:hint="eastAsia" w:asciiTheme="minorEastAsia" w:hAnsiTheme="minorEastAsia" w:eastAsiaTheme="minorEastAsia" w:cstheme="minorEastAsia"/>
                <w:b w:val="0"/>
                <w:bCs w:val="0"/>
                <w:snapToGrid w:val="0"/>
                <w:color w:val="000000"/>
                <w:spacing w:val="-3"/>
                <w:kern w:val="0"/>
                <w:sz w:val="18"/>
                <w:szCs w:val="18"/>
                <w:lang w:val="en-US" w:eastAsia="en-US" w:bidi="ar-SA"/>
              </w:rPr>
              <w:t>第十</w:t>
            </w:r>
            <w:r>
              <w:rPr>
                <w:rFonts w:hint="eastAsia" w:asciiTheme="minorEastAsia" w:hAnsiTheme="minorEastAsia" w:eastAsiaTheme="minorEastAsia" w:cstheme="minorEastAsia"/>
                <w:b w:val="0"/>
                <w:bCs w:val="0"/>
                <w:snapToGrid w:val="0"/>
                <w:color w:val="000000"/>
                <w:spacing w:val="-3"/>
                <w:kern w:val="0"/>
                <w:sz w:val="18"/>
                <w:szCs w:val="18"/>
                <w:lang w:val="en-US" w:eastAsia="zh-CN" w:bidi="ar-SA"/>
              </w:rPr>
              <w:t>五</w:t>
            </w:r>
            <w:r>
              <w:rPr>
                <w:rFonts w:hint="eastAsia" w:asciiTheme="minorEastAsia" w:hAnsiTheme="minorEastAsia" w:eastAsiaTheme="minorEastAsia" w:cstheme="minorEastAsia"/>
                <w:b w:val="0"/>
                <w:bCs w:val="0"/>
                <w:snapToGrid w:val="0"/>
                <w:color w:val="000000"/>
                <w:spacing w:val="-3"/>
                <w:kern w:val="0"/>
                <w:sz w:val="18"/>
                <w:szCs w:val="18"/>
                <w:lang w:val="en-US" w:eastAsia="en-US" w:bidi="ar-SA"/>
              </w:rPr>
              <w:t>条</w:t>
            </w:r>
            <w:r>
              <w:rPr>
                <w:rFonts w:hint="eastAsia" w:asciiTheme="minorEastAsia" w:hAnsiTheme="minorEastAsia" w:eastAsiaTheme="minorEastAsia" w:cstheme="minorEastAsia"/>
                <w:b w:val="0"/>
                <w:bCs w:val="0"/>
                <w:snapToGrid w:val="0"/>
                <w:color w:val="000000"/>
                <w:spacing w:val="-3"/>
                <w:kern w:val="0"/>
                <w:sz w:val="18"/>
                <w:szCs w:val="18"/>
                <w:lang w:val="en-US" w:eastAsia="zh-CN" w:bidi="ar-SA"/>
              </w:rPr>
              <w:t xml:space="preserve">  </w:t>
            </w:r>
            <w:r>
              <w:rPr>
                <w:rFonts w:hint="eastAsia" w:asciiTheme="minorEastAsia" w:hAnsiTheme="minorEastAsia" w:eastAsiaTheme="minorEastAsia" w:cstheme="minorEastAsia"/>
                <w:b w:val="0"/>
                <w:bCs w:val="0"/>
                <w:spacing w:val="-4"/>
                <w:sz w:val="18"/>
                <w:szCs w:val="18"/>
              </w:rPr>
              <w:t>应当立案调查的，立案决定应于发现涉嫌违法违规行为之日起十五个工作日内，经粮食和储备部门负责人批准后作出。</w:t>
            </w:r>
          </w:p>
        </w:tc>
        <w:tc>
          <w:tcPr>
            <w:tcW w:w="1229" w:type="dxa"/>
            <w:vAlign w:val="top"/>
          </w:tcPr>
          <w:p>
            <w:pPr>
              <w:spacing w:line="250" w:lineRule="auto"/>
              <w:jc w:val="left"/>
              <w:rPr>
                <w:rFonts w:hint="eastAsia" w:asciiTheme="minorEastAsia" w:hAnsiTheme="minorEastAsia" w:eastAsiaTheme="minorEastAsia" w:cstheme="minorEastAsia"/>
                <w:sz w:val="21"/>
              </w:rPr>
            </w:pPr>
          </w:p>
          <w:p>
            <w:pPr>
              <w:spacing w:line="250"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spacing w:line="251" w:lineRule="auto"/>
              <w:jc w:val="left"/>
              <w:rPr>
                <w:rFonts w:hint="eastAsia" w:asciiTheme="minorEastAsia" w:hAnsiTheme="minorEastAsia" w:eastAsiaTheme="minorEastAsia" w:cstheme="minorEastAsia"/>
                <w:sz w:val="21"/>
              </w:rPr>
            </w:pPr>
          </w:p>
          <w:p>
            <w:pPr>
              <w:pStyle w:val="7"/>
              <w:spacing w:before="46" w:line="227" w:lineRule="auto"/>
              <w:ind w:left="537"/>
              <w:jc w:val="left"/>
              <w:rPr>
                <w:rFonts w:hint="eastAsia" w:asciiTheme="minorEastAsia" w:hAnsiTheme="minorEastAsia" w:eastAsiaTheme="minorEastAsia" w:cstheme="minorEastAsia"/>
                <w:sz w:val="14"/>
                <w:szCs w:val="14"/>
              </w:rPr>
            </w:pPr>
            <w:r>
              <w:rPr>
                <w:rFonts w:hint="eastAsia" w:asciiTheme="minorEastAsia" w:hAnsiTheme="minorEastAsia" w:eastAsiaTheme="minorEastAsia" w:cstheme="minorEastAsia"/>
                <w:b/>
                <w:bCs/>
                <w:spacing w:val="-2"/>
                <w:sz w:val="14"/>
                <w:szCs w:val="14"/>
              </w:rPr>
              <w:t>★</w:t>
            </w:r>
          </w:p>
        </w:tc>
        <w:tc>
          <w:tcPr>
            <w:tcW w:w="3498" w:type="dxa"/>
            <w:vAlign w:val="top"/>
          </w:tcPr>
          <w:p>
            <w:pPr>
              <w:spacing w:line="246" w:lineRule="auto"/>
              <w:jc w:val="left"/>
              <w:rPr>
                <w:rFonts w:hint="eastAsia" w:asciiTheme="minorEastAsia" w:hAnsiTheme="minorEastAsia" w:eastAsiaTheme="minorEastAsia" w:cstheme="minorEastAsia"/>
                <w:sz w:val="21"/>
              </w:rPr>
            </w:pP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1.构建全流程台账规范体系，分类制定</w:t>
            </w:r>
            <w:r>
              <w:rPr>
                <w:rFonts w:hint="eastAsia" w:asciiTheme="minorEastAsia" w:hAnsiTheme="minorEastAsia" w:eastAsiaTheme="minorEastAsia" w:cstheme="minorEastAsia"/>
                <w:b w:val="0"/>
                <w:bCs w:val="0"/>
                <w:spacing w:val="-3"/>
                <w:sz w:val="18"/>
                <w:szCs w:val="18"/>
                <w:lang w:eastAsia="zh-CN"/>
              </w:rPr>
              <w:t>台</w:t>
            </w:r>
            <w:r>
              <w:rPr>
                <w:rFonts w:hint="eastAsia" w:asciiTheme="minorEastAsia" w:hAnsiTheme="minorEastAsia" w:eastAsiaTheme="minorEastAsia" w:cstheme="minorEastAsia"/>
                <w:b w:val="0"/>
                <w:bCs w:val="0"/>
                <w:spacing w:val="-3"/>
                <w:sz w:val="18"/>
                <w:szCs w:val="18"/>
              </w:rPr>
              <w:t>账模板收购环节：强制记录售粮主体信息(农户身份证号/企业统一社会信用代码)、粮食品种、等级、数量、价格及质检报告编号；加工环节：要求按批次关联原料来源与成品流向，保留副产品</w:t>
            </w:r>
            <w:r>
              <w:rPr>
                <w:rFonts w:hint="eastAsia" w:asciiTheme="minorEastAsia" w:hAnsiTheme="minorEastAsia" w:eastAsiaTheme="minorEastAsia" w:cstheme="minorEastAsia"/>
                <w:b w:val="0"/>
                <w:bCs w:val="0"/>
                <w:spacing w:val="-3"/>
                <w:sz w:val="18"/>
                <w:szCs w:val="18"/>
                <w:lang w:eastAsia="zh-CN"/>
              </w:rPr>
              <w:t>（</w:t>
            </w:r>
            <w:r>
              <w:rPr>
                <w:rFonts w:hint="eastAsia" w:asciiTheme="minorEastAsia" w:hAnsiTheme="minorEastAsia" w:eastAsiaTheme="minorEastAsia" w:cstheme="minorEastAsia"/>
                <w:b w:val="0"/>
                <w:bCs w:val="0"/>
                <w:spacing w:val="-3"/>
                <w:sz w:val="18"/>
                <w:szCs w:val="18"/>
              </w:rPr>
              <w:t>如米糠、碎米) 处理记录。</w:t>
            </w: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2.推行电子台账强制接入，参考其他省经验将粮食购销监管信息化平台与企业ERP系 统对接，实现收购凭证、质检数据、出入库记录等自动抓取生成台账，消除手工填报误差。</w:t>
            </w:r>
          </w:p>
          <w:p>
            <w:pPr>
              <w:pStyle w:val="7"/>
              <w:spacing w:before="61" w:line="266" w:lineRule="auto"/>
              <w:ind w:left="93" w:right="92" w:hanging="10"/>
              <w:jc w:val="left"/>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rPr>
              <w:t>3.实施“三必核”现场检查。收购旺季必核，重点检查稻谷、小麦等主粮收购量与支付凭证一致性；补贴申领前必核，核查加工企业产能数据与申报补贴匹配度；信用评级前必核，对A级信用企业开展随机数据真实性复查。</w:t>
            </w:r>
          </w:p>
          <w:p>
            <w:pPr>
              <w:pStyle w:val="7"/>
              <w:spacing w:before="61" w:line="266" w:lineRule="auto"/>
              <w:ind w:left="93" w:right="92" w:hanging="1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spacing w:val="-3"/>
                <w:sz w:val="18"/>
                <w:szCs w:val="18"/>
              </w:rPr>
              <w:t>4.强化违法违规行为惩戒，实行分级处罚标准。首次轻微违规：责令7日内补报，并处1万元以下罚款；瞒报关键数据等(如超标粮流向)按《粮食流通管理条例》第四十九条顶格处罚10万元，暂停粮食收购资格； 系统性造假，移送市场监管部门吊销营业  执照，纳入失信联合惩戒名单。</w:t>
            </w:r>
          </w:p>
        </w:tc>
        <w:tc>
          <w:tcPr>
            <w:tcW w:w="1784" w:type="dxa"/>
            <w:vAlign w:val="top"/>
          </w:tcPr>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right="92"/>
              <w:jc w:val="left"/>
              <w:rPr>
                <w:rFonts w:hint="eastAsia" w:asciiTheme="minorEastAsia" w:hAnsiTheme="minorEastAsia" w:eastAsiaTheme="minorEastAsia" w:cstheme="minorEastAsia"/>
                <w:b w:val="0"/>
                <w:bCs w:val="0"/>
                <w:spacing w:val="-3"/>
                <w:sz w:val="18"/>
                <w:szCs w:val="18"/>
              </w:rPr>
            </w:pPr>
          </w:p>
          <w:p>
            <w:pPr>
              <w:pStyle w:val="7"/>
              <w:spacing w:before="61" w:line="266" w:lineRule="auto"/>
              <w:ind w:left="93" w:right="92" w:hanging="10"/>
              <w:jc w:val="center"/>
              <w:rPr>
                <w:rFonts w:hint="eastAsia" w:asciiTheme="minorEastAsia" w:hAnsiTheme="minorEastAsia" w:eastAsiaTheme="minorEastAsia" w:cstheme="minorEastAsia"/>
                <w:b w:val="0"/>
                <w:bCs w:val="0"/>
                <w:spacing w:val="-3"/>
                <w:sz w:val="18"/>
                <w:szCs w:val="18"/>
                <w:lang w:eastAsia="zh-CN"/>
              </w:rPr>
            </w:pPr>
            <w:r>
              <w:rPr>
                <w:rFonts w:hint="eastAsia" w:asciiTheme="minorEastAsia" w:hAnsiTheme="minorEastAsia" w:eastAsiaTheme="minorEastAsia" w:cstheme="minorEastAsia"/>
                <w:spacing w:val="-1"/>
                <w:sz w:val="18"/>
                <w:szCs w:val="18"/>
                <w:lang w:eastAsia="zh-CN"/>
              </w:rPr>
              <w:t>大冶</w:t>
            </w:r>
            <w:r>
              <w:rPr>
                <w:rFonts w:hint="eastAsia" w:asciiTheme="minorEastAsia" w:hAnsiTheme="minorEastAsia" w:eastAsiaTheme="minorEastAsia" w:cstheme="minorEastAsia"/>
                <w:spacing w:val="-1"/>
                <w:sz w:val="18"/>
                <w:szCs w:val="18"/>
              </w:rPr>
              <w:t>市发展和改革</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lang w:eastAsia="zh-CN"/>
              </w:rPr>
              <w:t>局</w:t>
            </w:r>
            <w:r>
              <w:rPr>
                <w:rFonts w:hint="eastAsia" w:asciiTheme="minorEastAsia" w:hAnsiTheme="minorEastAsia" w:eastAsiaTheme="minorEastAsia" w:cstheme="minorEastAsia"/>
                <w:b w:val="0"/>
                <w:bCs w:val="0"/>
                <w:spacing w:val="-3"/>
                <w:sz w:val="18"/>
                <w:szCs w:val="18"/>
              </w:rPr>
              <w:t>粮食</w:t>
            </w:r>
            <w:r>
              <w:rPr>
                <w:rFonts w:hint="eastAsia" w:asciiTheme="minorEastAsia" w:hAnsiTheme="minorEastAsia" w:eastAsiaTheme="minorEastAsia" w:cstheme="minorEastAsia"/>
                <w:b w:val="0"/>
                <w:bCs w:val="0"/>
                <w:spacing w:val="-3"/>
                <w:sz w:val="18"/>
                <w:szCs w:val="18"/>
                <w:lang w:eastAsia="zh-CN"/>
              </w:rPr>
              <w:t>股</w:t>
            </w:r>
          </w:p>
          <w:p>
            <w:pPr>
              <w:pStyle w:val="7"/>
              <w:spacing w:before="61" w:line="266" w:lineRule="auto"/>
              <w:ind w:left="93" w:right="92" w:hanging="10"/>
              <w:jc w:val="center"/>
              <w:rPr>
                <w:rFonts w:hint="eastAsia" w:asciiTheme="minorEastAsia" w:hAnsiTheme="minorEastAsia" w:eastAsiaTheme="minorEastAsia" w:cstheme="minorEastAsia"/>
                <w:b w:val="0"/>
                <w:bCs w:val="0"/>
                <w:spacing w:val="-3"/>
                <w:sz w:val="18"/>
                <w:szCs w:val="18"/>
              </w:rPr>
            </w:pPr>
            <w:r>
              <w:rPr>
                <w:rFonts w:hint="eastAsia" w:asciiTheme="minorEastAsia" w:hAnsiTheme="minorEastAsia" w:eastAsiaTheme="minorEastAsia" w:cstheme="minorEastAsia"/>
                <w:b w:val="0"/>
                <w:bCs w:val="0"/>
                <w:spacing w:val="-3"/>
                <w:sz w:val="18"/>
                <w:szCs w:val="18"/>
                <w:lang w:eastAsia="zh-CN"/>
              </w:rPr>
              <w:t>（联系</w:t>
            </w:r>
            <w:r>
              <w:rPr>
                <w:rFonts w:hint="eastAsia" w:asciiTheme="minorEastAsia" w:hAnsiTheme="minorEastAsia" w:eastAsiaTheme="minorEastAsia" w:cstheme="minorEastAsia"/>
                <w:b w:val="0"/>
                <w:bCs w:val="0"/>
                <w:spacing w:val="-3"/>
                <w:sz w:val="18"/>
                <w:szCs w:val="18"/>
              </w:rPr>
              <w:t>电话：</w:t>
            </w:r>
            <w:r>
              <w:rPr>
                <w:rFonts w:hint="eastAsia" w:asciiTheme="minorEastAsia" w:hAnsiTheme="minorEastAsia" w:eastAsiaTheme="minorEastAsia" w:cstheme="minorEastAsia"/>
                <w:b w:val="0"/>
                <w:bCs w:val="0"/>
                <w:spacing w:val="-1"/>
                <w:sz w:val="18"/>
                <w:szCs w:val="18"/>
                <w:lang w:val="en-US" w:eastAsia="zh-CN"/>
              </w:rPr>
              <w:t>0714-8712233）</w:t>
            </w:r>
          </w:p>
        </w:tc>
      </w:tr>
    </w:tbl>
    <w:p>
      <w:pPr>
        <w:pStyle w:val="2"/>
      </w:pPr>
    </w:p>
    <w:sectPr>
      <w:footerReference r:id="rId8" w:type="default"/>
      <w:pgSz w:w="16840" w:h="11960"/>
      <w:pgMar w:top="1016" w:right="864" w:bottom="1207" w:left="884" w:header="0" w:footer="10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7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64"/>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55"/>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504"/>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464"/>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75"/>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94AF9"/>
    <w:multiLevelType w:val="singleLevel"/>
    <w:tmpl w:val="D8D94AF9"/>
    <w:lvl w:ilvl="0" w:tentative="0">
      <w:start w:val="1"/>
      <w:numFmt w:val="decimal"/>
      <w:lvlText w:val="%1."/>
      <w:lvlJc w:val="left"/>
      <w:pPr>
        <w:tabs>
          <w:tab w:val="left" w:pos="312"/>
        </w:tabs>
      </w:pPr>
    </w:lvl>
  </w:abstractNum>
  <w:abstractNum w:abstractNumId="1">
    <w:nsid w:val="EEB9E01E"/>
    <w:multiLevelType w:val="singleLevel"/>
    <w:tmpl w:val="EEB9E01E"/>
    <w:lvl w:ilvl="0" w:tentative="0">
      <w:start w:val="1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26C002A"/>
    <w:rsid w:val="042463C9"/>
    <w:rsid w:val="10FE2A57"/>
    <w:rsid w:val="262D4649"/>
    <w:rsid w:val="2FAB0637"/>
    <w:rsid w:val="346120FC"/>
    <w:rsid w:val="34821E25"/>
    <w:rsid w:val="3ABA4939"/>
    <w:rsid w:val="41EF130C"/>
    <w:rsid w:val="45AC0F39"/>
    <w:rsid w:val="46C661AA"/>
    <w:rsid w:val="4A4C7934"/>
    <w:rsid w:val="556D1D67"/>
    <w:rsid w:val="5BBC5376"/>
    <w:rsid w:val="5D6E0887"/>
    <w:rsid w:val="65987782"/>
    <w:rsid w:val="65BE5280"/>
    <w:rsid w:val="68CD12EC"/>
    <w:rsid w:val="71C87C6F"/>
    <w:rsid w:val="7DD32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1422</Words>
  <Characters>1516</Characters>
  <TotalTime>22</TotalTime>
  <ScaleCrop>false</ScaleCrop>
  <LinksUpToDate>false</LinksUpToDate>
  <CharactersWithSpaces>1590</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2025-07-23T15:40:00Z</dcterms:created>
  <dc:creator>Administrator</dc:creator>
  <cp:lastModifiedBy>Administrator</cp:lastModifiedBy>
  <dcterms:modified xsi:type="dcterms:W3CDTF">2025-08-19T07:52:28Z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2025-07-23T15:40:47Z</vt:filetime>
  </property>
  <property fmtid="{D5CDD505-2E9C-101B-9397-08002B2CF9AE}" pid="4" name="UsrData">
    <vt:lpwstr>688091fa6b6b96001fc556e9wl</vt:lpwstr>
  </property>
  <property fmtid="{D5CDD505-2E9C-101B-9397-08002B2CF9AE}" pid="5" name="KSOTemplateDocerSaveRecord">
    <vt:lpwstr>eyJoZGlkIjoiZjVjOTI2NjM5Y2I5NDAxOWU4Njk3OTg0MDc4ZGNlNzIiLCJ1c2VySWQiOiI2MTcyNjc2MTAifQ==</vt:lpwstr>
  </property>
  <property fmtid="{D5CDD505-2E9C-101B-9397-08002B2CF9AE}" pid="6" name="KSOProductBuildVer">
    <vt:lpwstr>2052-11.8.2.8411</vt:lpwstr>
  </property>
  <property fmtid="{D5CDD505-2E9C-101B-9397-08002B2CF9AE}" pid="7" name="ICV">
    <vt:lpwstr>5BA3DBBDE7224D2282298618F5BED14F_13</vt:lpwstr>
  </property>
</Properties>
</file>