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F6F16A">
      <w:pPr>
        <w:spacing w:afterLines="50" w:line="560" w:lineRule="exact"/>
        <w:jc w:val="center"/>
        <w:rPr>
          <w:rFonts w:ascii="Times New Roman" w:hAnsi="Times New Roman" w:eastAsia="仿宋_GB2312" w:cs="Times New Roman"/>
          <w:sz w:val="32"/>
          <w:szCs w:val="32"/>
        </w:rPr>
      </w:pPr>
      <w:r>
        <w:rPr>
          <w:rFonts w:hint="eastAsia" w:ascii="方正大标宋简体" w:hAnsi="方正大标宋简体" w:eastAsia="方正大标宋简体" w:cs="方正大标宋简体"/>
          <w:sz w:val="36"/>
          <w:szCs w:val="36"/>
        </w:rPr>
        <w:t>大冶</w:t>
      </w:r>
      <w:r>
        <w:rPr>
          <w:rFonts w:hint="eastAsia" w:ascii="方正大标宋简体" w:hAnsi="方正大标宋简体" w:eastAsia="方正大标宋简体" w:cs="方正大标宋简体"/>
          <w:sz w:val="36"/>
          <w:szCs w:val="36"/>
          <w:lang w:eastAsia="zh-CN"/>
        </w:rPr>
        <w:t>市交通运输局</w:t>
      </w:r>
      <w:r>
        <w:rPr>
          <w:rFonts w:hint="eastAsia" w:ascii="方正大标宋简体" w:hAnsi="方正大标宋简体" w:eastAsia="方正大标宋简体" w:cs="方正大标宋简体"/>
          <w:sz w:val="36"/>
          <w:szCs w:val="36"/>
        </w:rPr>
        <w:t>领导班子2024年度民主生活会征求意见表</w:t>
      </w:r>
    </w:p>
    <w:tbl>
      <w:tblPr>
        <w:tblStyle w:val="5"/>
        <w:tblW w:w="14049" w:type="dxa"/>
        <w:tblInd w:w="0" w:type="dxa"/>
        <w:tblLayout w:type="fixed"/>
        <w:tblCellMar>
          <w:top w:w="0" w:type="dxa"/>
          <w:left w:w="0" w:type="dxa"/>
          <w:bottom w:w="0" w:type="dxa"/>
          <w:right w:w="0" w:type="dxa"/>
        </w:tblCellMar>
      </w:tblPr>
      <w:tblGrid>
        <w:gridCol w:w="5544"/>
        <w:gridCol w:w="4252"/>
        <w:gridCol w:w="4253"/>
      </w:tblGrid>
      <w:tr w14:paraId="1D58B827">
        <w:tblPrEx>
          <w:tblCellMar>
            <w:top w:w="0" w:type="dxa"/>
            <w:left w:w="0" w:type="dxa"/>
            <w:bottom w:w="0" w:type="dxa"/>
            <w:right w:w="0" w:type="dxa"/>
          </w:tblCellMar>
        </w:tblPrEx>
        <w:trPr>
          <w:trHeight w:val="264" w:hRule="atLeast"/>
        </w:trPr>
        <w:tc>
          <w:tcPr>
            <w:tcW w:w="55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D3F682">
            <w:pPr>
              <w:widowControl/>
              <w:spacing w:line="320" w:lineRule="exact"/>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主要内容</w:t>
            </w:r>
          </w:p>
        </w:tc>
        <w:tc>
          <w:tcPr>
            <w:tcW w:w="42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7244D">
            <w:pPr>
              <w:widowControl/>
              <w:spacing w:line="320" w:lineRule="exact"/>
              <w:jc w:val="center"/>
              <w:textAlignment w:val="center"/>
              <w:rPr>
                <w:rFonts w:ascii="黑体" w:hAnsi="宋体" w:eastAsia="黑体" w:cs="黑体"/>
                <w:color w:val="000000"/>
                <w:sz w:val="28"/>
                <w:szCs w:val="28"/>
              </w:rPr>
            </w:pPr>
            <w:r>
              <w:rPr>
                <w:rFonts w:hint="eastAsia" w:ascii="黑体" w:hAnsi="黑体" w:eastAsia="黑体" w:cs="黑体"/>
                <w:sz w:val="28"/>
                <w:szCs w:val="32"/>
              </w:rPr>
              <w:t>对</w:t>
            </w:r>
            <w:r>
              <w:rPr>
                <w:rFonts w:hint="eastAsia" w:ascii="黑体" w:hAnsi="黑体" w:eastAsia="黑体" w:cs="黑体"/>
                <w:sz w:val="28"/>
                <w:szCs w:val="32"/>
                <w:lang w:eastAsia="zh-CN"/>
              </w:rPr>
              <w:t>交通运输局</w:t>
            </w:r>
            <w:r>
              <w:rPr>
                <w:rFonts w:hint="eastAsia" w:ascii="黑体" w:hAnsi="黑体" w:eastAsia="黑体" w:cs="黑体"/>
                <w:sz w:val="28"/>
                <w:szCs w:val="32"/>
              </w:rPr>
              <w:t>领导班子意见和建议</w:t>
            </w:r>
          </w:p>
        </w:tc>
        <w:tc>
          <w:tcPr>
            <w:tcW w:w="42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A2C53F">
            <w:pPr>
              <w:widowControl/>
              <w:spacing w:line="360" w:lineRule="exact"/>
              <w:jc w:val="center"/>
              <w:textAlignment w:val="center"/>
              <w:rPr>
                <w:rFonts w:ascii="黑体" w:hAnsi="宋体" w:eastAsia="黑体" w:cs="黑体"/>
                <w:color w:val="000000"/>
                <w:sz w:val="28"/>
                <w:szCs w:val="28"/>
              </w:rPr>
            </w:pPr>
            <w:r>
              <w:rPr>
                <w:rFonts w:hint="eastAsia" w:ascii="黑体" w:hAnsi="黑体" w:eastAsia="黑体" w:cs="黑体"/>
                <w:sz w:val="28"/>
                <w:szCs w:val="32"/>
              </w:rPr>
              <w:t>对领导班子个人意见和建议</w:t>
            </w:r>
          </w:p>
        </w:tc>
      </w:tr>
      <w:tr w14:paraId="195595C9">
        <w:tblPrEx>
          <w:tblCellMar>
            <w:top w:w="0" w:type="dxa"/>
            <w:left w:w="0" w:type="dxa"/>
            <w:bottom w:w="0" w:type="dxa"/>
            <w:right w:w="0" w:type="dxa"/>
          </w:tblCellMar>
        </w:tblPrEx>
        <w:trPr>
          <w:trHeight w:val="1574" w:hRule="atLeast"/>
        </w:trPr>
        <w:tc>
          <w:tcPr>
            <w:tcW w:w="55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A0AEEA">
            <w:pPr>
              <w:snapToGrid w:val="0"/>
              <w:spacing w:line="240" w:lineRule="exact"/>
              <w:jc w:val="left"/>
              <w:rPr>
                <w:rFonts w:ascii="仿宋_GB2312" w:hAnsi="宋体" w:eastAsia="仿宋_GB2312" w:cs="仿宋_GB2312"/>
                <w:color w:val="000000"/>
              </w:rPr>
            </w:pPr>
            <w:r>
              <w:rPr>
                <w:rFonts w:hint="eastAsia" w:ascii="仿宋_GB2312" w:hAnsi="仿宋_GB2312" w:eastAsia="仿宋_GB2312" w:cs="仿宋_GB2312"/>
              </w:rPr>
              <w:t>1.带头严守政治纪律和政治规矩，维护党的团结统一。健全落实以学铸魂、以学增智、以学正风、以学促干长效机制，深刻领悟“两个确立”的决定性意义，坚决做到“两个维护”,自觉防止和反对个人主义、分散主义、自由主义、本位主义，自觉在思想上政治上行动上同以习近平同志为核心的党中央保持高度一致。</w:t>
            </w:r>
          </w:p>
        </w:tc>
        <w:tc>
          <w:tcPr>
            <w:tcW w:w="42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E1B5A3">
            <w:pPr>
              <w:widowControl/>
              <w:spacing w:line="320" w:lineRule="exact"/>
              <w:jc w:val="left"/>
              <w:rPr>
                <w:rFonts w:ascii="宋体" w:hAnsi="宋体" w:eastAsia="宋体" w:cs="宋体"/>
                <w:color w:val="000000"/>
                <w:sz w:val="22"/>
              </w:rPr>
            </w:pPr>
            <w:r>
              <w:rPr>
                <w:rFonts w:hint="eastAsia" w:ascii="仿宋_GB2312" w:hAnsi="仿宋_GB2312" w:eastAsia="仿宋_GB2312" w:cs="仿宋_GB2312"/>
                <w:lang w:val="en-US" w:eastAsia="zh-CN"/>
              </w:rPr>
              <w:t>政治任务未落实到位。党纪学习教育开展是一项重要的政治任务，监督检查中发现市交通局存在督促、指导下属二级单位不到位的情况。例如，二级单位讲党课资料不齐全、党支部会议记录不齐、党员个人手册未见相关记录等。</w:t>
            </w:r>
          </w:p>
        </w:tc>
        <w:tc>
          <w:tcPr>
            <w:tcW w:w="42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4B6C6">
            <w:pPr>
              <w:spacing w:line="360" w:lineRule="exact"/>
              <w:jc w:val="left"/>
              <w:rPr>
                <w:rFonts w:ascii="宋体" w:hAnsi="宋体" w:eastAsia="宋体" w:cs="宋体"/>
                <w:color w:val="000000"/>
                <w:sz w:val="22"/>
              </w:rPr>
            </w:pPr>
          </w:p>
        </w:tc>
      </w:tr>
      <w:tr w14:paraId="3A97E4C8">
        <w:tblPrEx>
          <w:tblCellMar>
            <w:top w:w="0" w:type="dxa"/>
            <w:left w:w="0" w:type="dxa"/>
            <w:bottom w:w="0" w:type="dxa"/>
            <w:right w:w="0" w:type="dxa"/>
          </w:tblCellMar>
        </w:tblPrEx>
        <w:trPr>
          <w:trHeight w:val="1667" w:hRule="atLeast"/>
        </w:trPr>
        <w:tc>
          <w:tcPr>
            <w:tcW w:w="55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E55B12">
            <w:pPr>
              <w:snapToGrid w:val="0"/>
              <w:spacing w:line="240" w:lineRule="exact"/>
              <w:jc w:val="left"/>
              <w:rPr>
                <w:rFonts w:ascii="仿宋_GB2312" w:hAnsi="仿宋_GB2312" w:eastAsia="仿宋_GB2312" w:cs="仿宋_GB2312"/>
              </w:rPr>
            </w:pPr>
            <w:r>
              <w:rPr>
                <w:rFonts w:hint="eastAsia" w:ascii="仿宋_GB2312" w:hAnsi="仿宋_GB2312" w:eastAsia="仿宋_GB2312" w:cs="仿宋_GB2312"/>
              </w:rPr>
              <w:t>2.带头增强党性、严守纪律、砥砺作风。始终用党性原则修身律己，时刻以《条例》等党规党纪为标尺从严从实检身正己，把党的纪律内化为日用而不觉的言行准则，公正用权、依法用权、为民用权、廉洁用权，锲而不舍落实中央八项规定及其实施细则精神，自觉践行社会主义核心价值观。</w:t>
            </w:r>
          </w:p>
        </w:tc>
        <w:tc>
          <w:tcPr>
            <w:tcW w:w="42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0AAEB6">
            <w:pPr>
              <w:widowControl/>
              <w:spacing w:line="320" w:lineRule="exact"/>
              <w:jc w:val="left"/>
              <w:rPr>
                <w:rFonts w:ascii="宋体" w:hAnsi="宋体" w:eastAsia="宋体" w:cs="宋体"/>
                <w:color w:val="000000"/>
                <w:sz w:val="22"/>
              </w:rPr>
            </w:pPr>
            <w:bookmarkStart w:id="0" w:name="_GoBack"/>
            <w:bookmarkEnd w:id="0"/>
          </w:p>
        </w:tc>
        <w:tc>
          <w:tcPr>
            <w:tcW w:w="42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A12E84">
            <w:pPr>
              <w:spacing w:line="360" w:lineRule="exact"/>
              <w:jc w:val="left"/>
              <w:rPr>
                <w:rFonts w:ascii="宋体" w:hAnsi="宋体" w:eastAsia="宋体" w:cs="宋体"/>
                <w:color w:val="000000"/>
                <w:sz w:val="22"/>
              </w:rPr>
            </w:pPr>
          </w:p>
        </w:tc>
      </w:tr>
      <w:tr w14:paraId="06A62421">
        <w:tblPrEx>
          <w:tblCellMar>
            <w:top w:w="0" w:type="dxa"/>
            <w:left w:w="0" w:type="dxa"/>
            <w:bottom w:w="0" w:type="dxa"/>
            <w:right w:w="0" w:type="dxa"/>
          </w:tblCellMar>
        </w:tblPrEx>
        <w:trPr>
          <w:trHeight w:val="2386" w:hRule="atLeast"/>
        </w:trPr>
        <w:tc>
          <w:tcPr>
            <w:tcW w:w="55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F0B32D">
            <w:pPr>
              <w:snapToGrid w:val="0"/>
              <w:spacing w:line="240" w:lineRule="exact"/>
              <w:jc w:val="left"/>
              <w:rPr>
                <w:rFonts w:ascii="仿宋_GB2312" w:hAnsi="宋体" w:eastAsia="仿宋_GB2312" w:cs="仿宋_GB2312"/>
                <w:color w:val="000000"/>
              </w:rPr>
            </w:pPr>
            <w:r>
              <w:rPr>
                <w:rFonts w:hint="eastAsia" w:ascii="仿宋_GB2312" w:hAnsi="仿宋_GB2312" w:eastAsia="仿宋_GB2312" w:cs="仿宋_GB2312"/>
              </w:rPr>
              <w:t>3.</w:t>
            </w:r>
            <w:r>
              <w:rPr>
                <w:rFonts w:hint="eastAsia" w:ascii="仿宋_GB2312" w:hAnsi="仿宋_GB2312" w:eastAsia="仿宋_GB2312" w:cs="仿宋_GB2312"/>
                <w:szCs w:val="21"/>
              </w:rPr>
              <w:t>带头在遵规守纪、清正廉洁前提下勇于担责、敢于创新。聚焦推动高质量发展、加快建成武汉都市圈核心区重要节点城市、奋力书写中国式现代化大冶答卷，强化将改革进行到底的坚定决心和历史担当，以攻坚克难、迎难而上的政治勇气，直面矛盾问题不回避，铲除顽瘴痼疾不含糊，应对风险挑战不退缩，奋力打开改革发展新天地。树立和践行正确政绩观，坚决防范化解重点领域风险，坚决防范纠治“新形象工程”,深化整治形式主义为基层减负，守住兜牢民生底线，走好新时代党的群众路线</w:t>
            </w:r>
            <w:r>
              <w:rPr>
                <w:rFonts w:hint="eastAsia" w:ascii="仿宋_GB2312" w:hAnsi="仿宋_GB2312" w:eastAsia="仿宋_GB2312" w:cs="仿宋_GB2312"/>
              </w:rPr>
              <w:t>。</w:t>
            </w:r>
          </w:p>
        </w:tc>
        <w:tc>
          <w:tcPr>
            <w:tcW w:w="42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66EDA">
            <w:pPr>
              <w:widowControl/>
              <w:spacing w:line="320" w:lineRule="exact"/>
              <w:jc w:val="left"/>
              <w:rPr>
                <w:rFonts w:ascii="宋体" w:hAnsi="宋体" w:eastAsia="宋体" w:cs="宋体"/>
                <w:color w:val="000000"/>
                <w:sz w:val="22"/>
              </w:rPr>
            </w:pPr>
          </w:p>
        </w:tc>
        <w:tc>
          <w:tcPr>
            <w:tcW w:w="42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1875EF">
            <w:pPr>
              <w:spacing w:line="360" w:lineRule="exact"/>
              <w:jc w:val="left"/>
              <w:rPr>
                <w:rFonts w:ascii="宋体" w:hAnsi="宋体" w:eastAsia="宋体" w:cs="宋体"/>
                <w:color w:val="000000"/>
                <w:sz w:val="22"/>
              </w:rPr>
            </w:pPr>
          </w:p>
        </w:tc>
      </w:tr>
      <w:tr w14:paraId="0CDA27D0">
        <w:tblPrEx>
          <w:tblCellMar>
            <w:top w:w="0" w:type="dxa"/>
            <w:left w:w="0" w:type="dxa"/>
            <w:bottom w:w="0" w:type="dxa"/>
            <w:right w:w="0" w:type="dxa"/>
          </w:tblCellMar>
        </w:tblPrEx>
        <w:trPr>
          <w:trHeight w:val="2108" w:hRule="atLeast"/>
        </w:trPr>
        <w:tc>
          <w:tcPr>
            <w:tcW w:w="55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7F6E2">
            <w:pPr>
              <w:snapToGrid w:val="0"/>
              <w:spacing w:line="240" w:lineRule="exact"/>
              <w:jc w:val="left"/>
              <w:rPr>
                <w:rFonts w:ascii="仿宋_GB2312" w:hAnsi="宋体" w:eastAsia="仿宋_GB2312" w:cs="仿宋_GB2312"/>
                <w:color w:val="000000"/>
              </w:rPr>
            </w:pPr>
            <w:r>
              <w:rPr>
                <w:rFonts w:hint="eastAsia" w:ascii="仿宋_GB2312" w:hAnsi="仿宋_GB2312" w:eastAsia="仿宋_GB2312" w:cs="仿宋_GB2312"/>
              </w:rPr>
              <w:t>4.带头履行全面从严治党政治责任。坚持用改革精神和严的标准管党治党，坚持党性党风党纪一起抓、正风肃纪反腐相贯通，深入开展纪律教育，集中整治群众身边不正之风和腐败问题，深化运用监督执纪“四种形态”,着力铲除腐败滋生的土壤和条件。树好选人用人风向标，认真落实“三个区分开来”,着力解决干部乱作为、不作为、不敢为、不善为问题。落实意识形态工作要求，规范网络空间言行，引导党员干部在网络空间主动正确发声、敢于善于斗争。</w:t>
            </w:r>
          </w:p>
        </w:tc>
        <w:tc>
          <w:tcPr>
            <w:tcW w:w="42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7D0C6">
            <w:pPr>
              <w:widowControl/>
              <w:spacing w:line="320" w:lineRule="exact"/>
              <w:jc w:val="left"/>
              <w:rPr>
                <w:rFonts w:ascii="宋体" w:hAnsi="宋体" w:eastAsia="宋体" w:cs="宋体"/>
                <w:color w:val="000000"/>
                <w:sz w:val="22"/>
              </w:rPr>
            </w:pPr>
            <w:r>
              <w:rPr>
                <w:rFonts w:hint="eastAsia" w:ascii="仿宋_GB2312" w:hAnsi="仿宋_GB2312" w:eastAsia="仿宋_GB2312" w:cs="仿宋_GB2312"/>
                <w:lang w:val="en-US" w:eastAsia="zh-CN"/>
              </w:rPr>
              <w:t>基层党建工作还存在薄弱环节，基层党组织建设不健全、发展党员程序不规范、形式主义依然存在、对下属党组织党建工作指导不够有力。</w:t>
            </w:r>
          </w:p>
        </w:tc>
        <w:tc>
          <w:tcPr>
            <w:tcW w:w="42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C3054">
            <w:pPr>
              <w:spacing w:line="360" w:lineRule="exact"/>
              <w:jc w:val="left"/>
              <w:rPr>
                <w:rFonts w:ascii="宋体" w:hAnsi="宋体" w:eastAsia="宋体" w:cs="宋体"/>
                <w:color w:val="000000"/>
                <w:sz w:val="22"/>
              </w:rPr>
            </w:pPr>
          </w:p>
        </w:tc>
      </w:tr>
    </w:tbl>
    <w:p w14:paraId="1E3425B7">
      <w:pPr>
        <w:spacing w:line="160" w:lineRule="exact"/>
        <w:rPr>
          <w:rFonts w:ascii="Times New Roman" w:hAnsi="Times New Roman" w:eastAsia="仿宋_GB2312" w:cs="Times New Roman"/>
          <w:sz w:val="32"/>
          <w:szCs w:val="32"/>
        </w:rPr>
      </w:pPr>
    </w:p>
    <w:sectPr>
      <w:pgSz w:w="16838" w:h="11906" w:orient="landscape"/>
      <w:pgMar w:top="1361" w:right="1361" w:bottom="1361" w:left="1361"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大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jMGE0Zjc4ZjI2YTM1MmU4Yzk2MjhmOTU3MzE0NzQifQ=="/>
  </w:docVars>
  <w:rsids>
    <w:rsidRoot w:val="00D5716C"/>
    <w:rsid w:val="0001264F"/>
    <w:rsid w:val="000169A2"/>
    <w:rsid w:val="0002099B"/>
    <w:rsid w:val="00070706"/>
    <w:rsid w:val="00073E31"/>
    <w:rsid w:val="00076110"/>
    <w:rsid w:val="00095587"/>
    <w:rsid w:val="000A7F5E"/>
    <w:rsid w:val="000D2FD7"/>
    <w:rsid w:val="000E03CA"/>
    <w:rsid w:val="00112012"/>
    <w:rsid w:val="00135E41"/>
    <w:rsid w:val="0013626E"/>
    <w:rsid w:val="00136DD0"/>
    <w:rsid w:val="00145872"/>
    <w:rsid w:val="001B01BE"/>
    <w:rsid w:val="001B3359"/>
    <w:rsid w:val="001D524A"/>
    <w:rsid w:val="001E6B52"/>
    <w:rsid w:val="001F04F3"/>
    <w:rsid w:val="00201E9C"/>
    <w:rsid w:val="00202D24"/>
    <w:rsid w:val="002108C4"/>
    <w:rsid w:val="00224AED"/>
    <w:rsid w:val="002439CF"/>
    <w:rsid w:val="002732EC"/>
    <w:rsid w:val="00280B81"/>
    <w:rsid w:val="002D3548"/>
    <w:rsid w:val="00316532"/>
    <w:rsid w:val="00333AD1"/>
    <w:rsid w:val="00345426"/>
    <w:rsid w:val="00350B1A"/>
    <w:rsid w:val="003563E0"/>
    <w:rsid w:val="00364A83"/>
    <w:rsid w:val="003B1DB4"/>
    <w:rsid w:val="003B2BE0"/>
    <w:rsid w:val="003C4B0A"/>
    <w:rsid w:val="003E4965"/>
    <w:rsid w:val="00402AAE"/>
    <w:rsid w:val="00405B9F"/>
    <w:rsid w:val="00412881"/>
    <w:rsid w:val="00421FFF"/>
    <w:rsid w:val="00435C7F"/>
    <w:rsid w:val="00481E07"/>
    <w:rsid w:val="00497FF8"/>
    <w:rsid w:val="004B0A7C"/>
    <w:rsid w:val="004B2391"/>
    <w:rsid w:val="004C17A3"/>
    <w:rsid w:val="004E166C"/>
    <w:rsid w:val="00525160"/>
    <w:rsid w:val="00562D95"/>
    <w:rsid w:val="005B1EFA"/>
    <w:rsid w:val="005C7A75"/>
    <w:rsid w:val="005E114C"/>
    <w:rsid w:val="005E2CCD"/>
    <w:rsid w:val="005F2C6E"/>
    <w:rsid w:val="005F333C"/>
    <w:rsid w:val="00616FCC"/>
    <w:rsid w:val="006521DA"/>
    <w:rsid w:val="00667DDB"/>
    <w:rsid w:val="006A1980"/>
    <w:rsid w:val="006C1AD5"/>
    <w:rsid w:val="006D15EA"/>
    <w:rsid w:val="00707461"/>
    <w:rsid w:val="00781BA7"/>
    <w:rsid w:val="00782ACB"/>
    <w:rsid w:val="007927FD"/>
    <w:rsid w:val="007A5D0B"/>
    <w:rsid w:val="007B0A85"/>
    <w:rsid w:val="007F740D"/>
    <w:rsid w:val="00837D57"/>
    <w:rsid w:val="008C6E04"/>
    <w:rsid w:val="008E51DD"/>
    <w:rsid w:val="00900548"/>
    <w:rsid w:val="00910DA8"/>
    <w:rsid w:val="009916C6"/>
    <w:rsid w:val="00994408"/>
    <w:rsid w:val="009A6A0B"/>
    <w:rsid w:val="009C3124"/>
    <w:rsid w:val="009C4469"/>
    <w:rsid w:val="009F0F6A"/>
    <w:rsid w:val="00A12C31"/>
    <w:rsid w:val="00A13E18"/>
    <w:rsid w:val="00A3034C"/>
    <w:rsid w:val="00A428DD"/>
    <w:rsid w:val="00A457AE"/>
    <w:rsid w:val="00B00479"/>
    <w:rsid w:val="00B0195B"/>
    <w:rsid w:val="00B108CA"/>
    <w:rsid w:val="00B11145"/>
    <w:rsid w:val="00B407AB"/>
    <w:rsid w:val="00B57855"/>
    <w:rsid w:val="00B65E25"/>
    <w:rsid w:val="00B8415B"/>
    <w:rsid w:val="00BE0CC3"/>
    <w:rsid w:val="00BF225E"/>
    <w:rsid w:val="00C17171"/>
    <w:rsid w:val="00C21E11"/>
    <w:rsid w:val="00C24FC7"/>
    <w:rsid w:val="00C255E8"/>
    <w:rsid w:val="00C326F9"/>
    <w:rsid w:val="00C47311"/>
    <w:rsid w:val="00C607A5"/>
    <w:rsid w:val="00C640D2"/>
    <w:rsid w:val="00C6559E"/>
    <w:rsid w:val="00C727CC"/>
    <w:rsid w:val="00C877F5"/>
    <w:rsid w:val="00C96457"/>
    <w:rsid w:val="00CD0751"/>
    <w:rsid w:val="00CD31F6"/>
    <w:rsid w:val="00D0742E"/>
    <w:rsid w:val="00D15B3A"/>
    <w:rsid w:val="00D47EE6"/>
    <w:rsid w:val="00D5716C"/>
    <w:rsid w:val="00D750C0"/>
    <w:rsid w:val="00D90F67"/>
    <w:rsid w:val="00D962CD"/>
    <w:rsid w:val="00DB018E"/>
    <w:rsid w:val="00DB4ACC"/>
    <w:rsid w:val="00DC0F7E"/>
    <w:rsid w:val="00DD699D"/>
    <w:rsid w:val="00DE45AC"/>
    <w:rsid w:val="00E074F7"/>
    <w:rsid w:val="00E07F44"/>
    <w:rsid w:val="00E71491"/>
    <w:rsid w:val="00EA495A"/>
    <w:rsid w:val="00EB6FEB"/>
    <w:rsid w:val="00EB731B"/>
    <w:rsid w:val="00EE1963"/>
    <w:rsid w:val="00F26D62"/>
    <w:rsid w:val="00F55F8F"/>
    <w:rsid w:val="00F81FC6"/>
    <w:rsid w:val="00FB7237"/>
    <w:rsid w:val="00FC7C45"/>
    <w:rsid w:val="00FD4717"/>
    <w:rsid w:val="2AEC02D2"/>
    <w:rsid w:val="4F1C4682"/>
    <w:rsid w:val="5024264A"/>
    <w:rsid w:val="6367311D"/>
    <w:rsid w:val="72A204A0"/>
    <w:rsid w:val="7F6D1305"/>
    <w:rsid w:val="BFDF120D"/>
    <w:rsid w:val="DBF7DDE4"/>
    <w:rsid w:val="EF5F23E0"/>
    <w:rsid w:val="F6F1B6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1"/>
    <w:semiHidden/>
    <w:unhideWhenUsed/>
    <w:qFormat/>
    <w:uiPriority w:val="99"/>
    <w:pPr>
      <w:ind w:left="100" w:leftChars="2500"/>
    </w:p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qFormat/>
    <w:uiPriority w:val="99"/>
    <w:rPr>
      <w:color w:val="0000FF" w:themeColor="hyperlink"/>
      <w:u w:val="single"/>
      <w14:textFill>
        <w14:solidFill>
          <w14:schemeClr w14:val="hlink"/>
        </w14:solidFill>
      </w14:textFill>
    </w:rPr>
  </w:style>
  <w:style w:type="character" w:customStyle="1" w:styleId="8">
    <w:name w:val="页眉 Char"/>
    <w:basedOn w:val="6"/>
    <w:link w:val="4"/>
    <w:semiHidden/>
    <w:qFormat/>
    <w:uiPriority w:val="99"/>
    <w:rPr>
      <w:sz w:val="18"/>
      <w:szCs w:val="18"/>
    </w:rPr>
  </w:style>
  <w:style w:type="character" w:customStyle="1" w:styleId="9">
    <w:name w:val="页脚 Char"/>
    <w:basedOn w:val="6"/>
    <w:link w:val="3"/>
    <w:semiHidden/>
    <w:qFormat/>
    <w:uiPriority w:val="99"/>
    <w:rPr>
      <w:sz w:val="18"/>
      <w:szCs w:val="18"/>
    </w:rPr>
  </w:style>
  <w:style w:type="paragraph" w:styleId="10">
    <w:name w:val="List Paragraph"/>
    <w:basedOn w:val="1"/>
    <w:qFormat/>
    <w:uiPriority w:val="34"/>
    <w:pPr>
      <w:ind w:firstLine="420" w:firstLineChars="200"/>
    </w:pPr>
  </w:style>
  <w:style w:type="character" w:customStyle="1" w:styleId="11">
    <w:name w:val="日期 Char"/>
    <w:basedOn w:val="6"/>
    <w:link w:val="2"/>
    <w:semiHidden/>
    <w:qFormat/>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9717C7F2-4321-4646-9E2C-492F16A413B7}">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Pages>
  <Words>910</Words>
  <Characters>917</Characters>
  <Lines>13</Lines>
  <Paragraphs>3</Paragraphs>
  <TotalTime>0</TotalTime>
  <ScaleCrop>false</ScaleCrop>
  <LinksUpToDate>false</LinksUpToDate>
  <CharactersWithSpaces>917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2019-10-16T00:33:00Z</dcterms:created>
  <dc:creator>Administrator</dc:creator>
  <cp:lastModifiedBy>WPS_1661414799</cp:lastModifiedBy>
  <cp:lastPrinted>2025-01-13T17:20:00Z</cp:lastPrinted>
  <dcterms:modified xsi:type="dcterms:W3CDTF">2025-01-14T06:23:44Z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eyJoZGlkIjoiNWYyYjQ5ODU1YzE0ZWZkOThmMTI4NmZkMzhmODI3OTUiLCJ1c2VySWQiOiIxMTg1NzkxMCJ9</vt:lpwstr>
  </property>
  <property fmtid="{D5CDD505-2E9C-101B-9397-08002B2CF9AE}" pid="3" name="KSOProductBuildVer">
    <vt:lpwstr>2052-12.1.0.19770</vt:lpwstr>
  </property>
  <property fmtid="{D5CDD505-2E9C-101B-9397-08002B2CF9AE}" pid="4" name="ICV">
    <vt:lpwstr>7690D53BF9424577AAB48AE8CA4FEE56_13</vt:lpwstr>
  </property>
</Properties>
</file>