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黑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color w:val="000000"/>
          <w:sz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养老机构基本条件告知书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养老机构应当依照《中华人民共和国老年人权益保障法》等法律法规和标准规范的规定开展服务活动，并符合下列基本条件：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应当符合《中华人民共和国建筑法》《中华人民共和国消防法》《无障碍环境建设条例》等法律法规，以及《老年人照料</w:t>
      </w:r>
      <w:r>
        <w:rPr>
          <w:rFonts w:hint="eastAsia" w:ascii="仿宋_GB2312" w:hAnsi="仿宋_GB2312" w:eastAsia="仿宋_GB2312" w:cs="仿宋_GB2312"/>
          <w:color w:val="000000"/>
          <w:spacing w:val="4"/>
          <w:sz w:val="32"/>
          <w:szCs w:val="32"/>
        </w:rPr>
        <w:t>设施建筑设计标准》（住房城乡建设部公告2018年第36号）、《建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筑设计防火规范》（住房城乡建设部公告2018年第35号）等国家标准或者行业标准规定的安全生产条件，并符合环境影响评价分类管理要求。依照《中华人民共和国安全生产法》第17条规定，不具备安全生产条件的，不得从事经营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应当符合《养老机构管理办法》规章。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《医疗机构管理条例实施细则》等法规规章，以及养老机构内设医务室、护理站等设置标准。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开展餐饮服务的，应当符合《中华人民共和国食品安全法》等法律法规，以及相应食品安全标准。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建筑面积 5000 平方米以上并且为新建涉及环境敏感区的项目，按照相关程序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环评审批。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法律法规规定的其他条件。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02FA41CA"/>
    <w:rsid w:val="5843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413</Words>
  <Characters>431</Characters>
  <Lines>0</Lines>
  <Paragraphs>0</Paragraphs>
  <TotalTime>2</TotalTime>
  <ScaleCrop>false</ScaleCrop>
  <LinksUpToDate>false</LinksUpToDate>
  <CharactersWithSpaces>434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2022-11-02T03:35:00Z</dcterms:created>
  <dc:creator>pc</dc:creator>
  <cp:lastModifiedBy>IL MARE</cp:lastModifiedBy>
  <dcterms:modified xsi:type="dcterms:W3CDTF">2022-11-02T03:39:13Z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8DA7808EBAC54AF8B0400F6B9D4100F2</vt:lpwstr>
  </property>
</Properties>
</file>