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29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大冶市市场监督管理局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行政检查频次上限公示</w:t>
      </w:r>
    </w:p>
    <w:bookmarkEnd w:id="0"/>
    <w:p w14:paraId="54247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B6D6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每年检查频次依据市场监管总局和省市场监管局制定的标准实施，法律法规有特殊规定或发生不良事件、投诉举报等特殊情况除外。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D186B"/>
    <w:rsid w:val="56E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2025-07-23T06:53:00Z</dcterms:created>
  <dc:creator>涂齐喜</dc:creator>
  <cp:lastModifiedBy>涂齐喜</cp:lastModifiedBy>
  <cp:lastPrinted>2025-07-23T06:55:31Z</cp:lastPrinted>
  <dcterms:modified xsi:type="dcterms:W3CDTF">2025-07-23T06:55:47Z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FCF5E3F4A4DE49CCBE737BC70EB43BB5_11</vt:lpwstr>
  </property>
  <property fmtid="{D5CDD505-2E9C-101B-9397-08002B2CF9AE}" pid="4" name="KSOTemplateDocerSaveRecord">
    <vt:lpwstr>eyJoZGlkIjoiNzI2Mzk2ZGQ0Y2U5ZGQ0NDQ2ZDcwNzI2YTU3YmI4YTIiLCJ1c2VySWQiOiIxMTU3NDQ0NTU4In0=</vt:lpwstr>
  </property>
</Properties>
</file>