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1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大冶市绿色建材行业信用评价实施细则</w:t>
      </w:r>
    </w:p>
    <w:p w14:paraId="3F44F6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14:paraId="08BD14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57F684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14:paraId="21A10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第一条（目的与依据）</w:t>
      </w:r>
      <w:r>
        <w:rPr>
          <w:rFonts w:hint="eastAsia" w:ascii="仿宋_GB2312" w:hAnsi="仿宋_GB2312" w:eastAsia="仿宋_GB2312" w:cs="仿宋_GB2312"/>
          <w:sz w:val="32"/>
          <w:szCs w:val="32"/>
          <w:lang w:val="en-US" w:eastAsia="zh-CN"/>
        </w:rPr>
        <w:t>为落实《市场监管总局关于深入开展经营主体信用体系建设创新试点工作的通知》（国市监信发〔2025〕111号）和《省市场监管局关于开展创新信用激励机制试点工作的通知》（鄂市监信监函〔2026〕22 号）的部署安排，结合我市绿色建材行业实际，制定本实施细则。</w:t>
      </w:r>
    </w:p>
    <w:p w14:paraId="3FEA7E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rPr>
      </w:pPr>
      <w:r>
        <w:rPr>
          <w:rFonts w:hint="eastAsia" w:ascii="黑体" w:hAnsi="黑体" w:eastAsia="黑体" w:cs="黑体"/>
          <w:sz w:val="32"/>
          <w:szCs w:val="32"/>
        </w:rPr>
        <w:t>第二条（适用范围</w:t>
      </w:r>
      <w:r>
        <w:rPr>
          <w:rFonts w:hint="eastAsia" w:ascii="黑体" w:hAnsi="黑体" w:eastAsia="黑体" w:cs="黑体"/>
          <w:sz w:val="32"/>
          <w:szCs w:val="32"/>
          <w:lang w:val="en-US" w:eastAsia="zh-CN"/>
        </w:rPr>
        <w:t>与效力限制</w:t>
      </w:r>
      <w:r>
        <w:rPr>
          <w:rFonts w:hint="eastAsia" w:ascii="黑体" w:hAnsi="黑体" w:eastAsia="黑体" w:cs="黑体"/>
          <w:sz w:val="32"/>
          <w:szCs w:val="32"/>
        </w:rPr>
        <w:t>）</w:t>
      </w:r>
      <w:r>
        <w:rPr>
          <w:rFonts w:hint="eastAsia" w:ascii="仿宋_GB2312" w:hAnsi="仿宋_GB2312" w:eastAsia="仿宋_GB2312" w:cs="仿宋_GB2312"/>
          <w:sz w:val="32"/>
          <w:szCs w:val="32"/>
          <w:lang w:val="en-US" w:eastAsia="zh-CN"/>
        </w:rPr>
        <w:t>本细则仅适用于试点参与企业。评价结果仅作为对试点企业开展信用激励工作的依据，不作为市场准入或限制经营等的依据。</w:t>
      </w:r>
    </w:p>
    <w:p w14:paraId="02BEF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第三条（基本原则）</w:t>
      </w:r>
      <w:r>
        <w:rPr>
          <w:rFonts w:hint="eastAsia" w:ascii="仿宋_GB2312" w:hAnsi="仿宋_GB2312" w:eastAsia="仿宋_GB2312" w:cs="仿宋_GB2312"/>
          <w:sz w:val="32"/>
          <w:szCs w:val="32"/>
          <w:lang w:val="en-US" w:eastAsia="zh-CN"/>
        </w:rPr>
        <w:t>企业信用评价遵循“合法合规、客观公正、动态管理、分类施策”原则，以信用相关数据为基础，以信用评价分级为核心，建立企业信用综合评价体系，引导企业提升诚信水平，助力高质量发展。</w:t>
      </w:r>
    </w:p>
    <w:p w14:paraId="285433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20328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试点企业名单管理</w:t>
      </w:r>
    </w:p>
    <w:p w14:paraId="1E0AD1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试点企业名单</w:t>
      </w:r>
      <w:r>
        <w:rPr>
          <w:rFonts w:hint="eastAsia" w:ascii="黑体" w:hAnsi="黑体" w:eastAsia="黑体" w:cs="黑体"/>
          <w:sz w:val="32"/>
          <w:szCs w:val="32"/>
        </w:rPr>
        <w:t>）</w:t>
      </w:r>
      <w:r>
        <w:rPr>
          <w:rFonts w:hint="eastAsia" w:ascii="仿宋_GB2312" w:hAnsi="仿宋_GB2312" w:eastAsia="仿宋_GB2312" w:cs="仿宋_GB2312"/>
          <w:sz w:val="32"/>
          <w:szCs w:val="32"/>
          <w:lang w:val="en-US" w:eastAsia="zh-CN"/>
        </w:rPr>
        <w:t>试点企业名单由市市场监管局会同市统计局、市经信局依据行业类别及代表性确定，随本细则一并公布。</w:t>
      </w:r>
    </w:p>
    <w:p w14:paraId="59B9C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第五条（申请增补）</w:t>
      </w:r>
      <w:r>
        <w:rPr>
          <w:rFonts w:hint="eastAsia" w:ascii="仿宋_GB2312" w:hAnsi="仿宋_GB2312" w:eastAsia="仿宋_GB2312" w:cs="仿宋_GB2312"/>
          <w:sz w:val="32"/>
          <w:szCs w:val="32"/>
          <w:lang w:val="en-US" w:eastAsia="zh-CN"/>
        </w:rPr>
        <w:t>未列入试点名单的绿色建材相关企业，可向市市场监管局提出书面申请，经审核符合条件的，可增补进入试点名单。</w:t>
      </w:r>
    </w:p>
    <w:p w14:paraId="100DF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第六条（退出管理）</w:t>
      </w:r>
      <w:r>
        <w:rPr>
          <w:rFonts w:hint="eastAsia" w:ascii="仿宋_GB2312" w:hAnsi="仿宋_GB2312" w:eastAsia="仿宋_GB2312" w:cs="仿宋_GB2312"/>
          <w:sz w:val="32"/>
          <w:szCs w:val="32"/>
          <w:lang w:val="en-US" w:eastAsia="zh-CN"/>
        </w:rPr>
        <w:t>试点企业可主动申请退出试点。自申请退出之日起不再适用本细则。</w:t>
      </w:r>
    </w:p>
    <w:p w14:paraId="29F43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第七条（名单公布）</w:t>
      </w:r>
      <w:r>
        <w:rPr>
          <w:rFonts w:hint="default" w:ascii="黑体" w:hAnsi="黑体" w:eastAsia="黑体" w:cs="黑体"/>
          <w:sz w:val="32"/>
          <w:szCs w:val="32"/>
        </w:rPr>
        <w:t> </w:t>
      </w:r>
      <w:r>
        <w:rPr>
          <w:rFonts w:hint="default" w:ascii="仿宋_GB2312" w:hAnsi="仿宋_GB2312" w:eastAsia="仿宋_GB2312" w:cs="仿宋_GB2312"/>
          <w:sz w:val="32"/>
          <w:szCs w:val="32"/>
          <w:lang w:val="en-US" w:eastAsia="zh-CN"/>
        </w:rPr>
        <w:t>试点企业名单的增补和</w:t>
      </w:r>
      <w:r>
        <w:rPr>
          <w:rFonts w:hint="eastAsia" w:ascii="仿宋_GB2312" w:hAnsi="仿宋_GB2312" w:eastAsia="仿宋_GB2312" w:cs="仿宋_GB2312"/>
          <w:sz w:val="32"/>
          <w:szCs w:val="32"/>
          <w:lang w:val="en-US" w:eastAsia="zh-CN"/>
        </w:rPr>
        <w:t>退</w:t>
      </w:r>
      <w:r>
        <w:rPr>
          <w:rFonts w:hint="default" w:ascii="仿宋_GB2312" w:hAnsi="仿宋_GB2312" w:eastAsia="仿宋_GB2312" w:cs="仿宋_GB2312"/>
          <w:sz w:val="32"/>
          <w:szCs w:val="32"/>
          <w:lang w:val="en-US" w:eastAsia="zh-CN"/>
        </w:rPr>
        <w:t>出情况，由市市场监管局通过官方网站等渠道及时公布</w:t>
      </w:r>
      <w:r>
        <w:rPr>
          <w:rFonts w:hint="eastAsia" w:ascii="仿宋_GB2312" w:hAnsi="仿宋_GB2312" w:eastAsia="仿宋_GB2312" w:cs="仿宋_GB2312"/>
          <w:sz w:val="32"/>
          <w:szCs w:val="32"/>
          <w:lang w:val="en-US" w:eastAsia="zh-CN"/>
        </w:rPr>
        <w:t>。</w:t>
      </w:r>
    </w:p>
    <w:p w14:paraId="4616D8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09EBEA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评价内容与指标体系</w:t>
      </w:r>
    </w:p>
    <w:p w14:paraId="6C1CB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条（指标构成）</w:t>
      </w:r>
      <w:r>
        <w:rPr>
          <w:rFonts w:hint="eastAsia" w:ascii="仿宋_GB2312" w:hAnsi="仿宋_GB2312" w:eastAsia="仿宋_GB2312" w:cs="仿宋_GB2312"/>
          <w:sz w:val="32"/>
          <w:szCs w:val="32"/>
          <w:lang w:val="en-US" w:eastAsia="zh-CN"/>
        </w:rPr>
        <w:t xml:space="preserve">企业信用评价得分通过计算基础指标和专项指标总和得出： </w:t>
      </w:r>
    </w:p>
    <w:p w14:paraId="3E3C0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1.基础指标（总分100分）：包含通用性指标，从履约意愿、履约能力、履约行为三个维度开展评价，覆盖企业资质、经营行为、社会责任等（详见附件1）。  </w:t>
      </w:r>
    </w:p>
    <w:p w14:paraId="0A3BC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2.专项指标（总分10分）：分为绿色建材特色指标和荣誉增信指标两项。</w:t>
      </w:r>
    </w:p>
    <w:p w14:paraId="5A17C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绿色建材特色指标（7分），从绿色生产与低碳绩效、绿色建材认证与产品品质、安全生产与职业健康、科技创新与数字化转型四个维度开展评价。（详见附件2）。</w:t>
      </w:r>
    </w:p>
    <w:p w14:paraId="7B98CC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荣誉增信指标（3分）：包含政府质量奖、守合同重信用企业、湖北精品等十二项内容（详见附件3）。</w:t>
      </w:r>
    </w:p>
    <w:p w14:paraId="1FD90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3.总分计算：基础指标与专项指标之和不超过100分。</w:t>
      </w:r>
    </w:p>
    <w:p w14:paraId="7E383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条（权重确定）</w:t>
      </w:r>
      <w:r>
        <w:rPr>
          <w:rFonts w:hint="eastAsia" w:ascii="仿宋_GB2312" w:hAnsi="仿宋_GB2312" w:eastAsia="仿宋_GB2312" w:cs="仿宋_GB2312"/>
          <w:sz w:val="32"/>
          <w:szCs w:val="32"/>
          <w:lang w:val="en-US" w:eastAsia="zh-CN"/>
        </w:rPr>
        <w:t>指标权重采用专家德尔菲法与熵权法结合的方式确定，确保科学性与合理性。</w:t>
      </w:r>
    </w:p>
    <w:p w14:paraId="569A26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15FFA6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章 评价程序与周期</w:t>
      </w:r>
    </w:p>
    <w:p w14:paraId="43812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条（数据归集）</w:t>
      </w:r>
      <w:r>
        <w:rPr>
          <w:rFonts w:hint="eastAsia" w:ascii="仿宋_GB2312" w:hAnsi="仿宋_GB2312" w:eastAsia="仿宋_GB2312" w:cs="仿宋_GB2312"/>
          <w:sz w:val="32"/>
          <w:szCs w:val="32"/>
          <w:lang w:val="en-US" w:eastAsia="zh-CN"/>
        </w:rPr>
        <w:t>基础指标</w:t>
      </w:r>
      <w:r>
        <w:rPr>
          <w:rFonts w:hint="eastAsia" w:ascii="仿宋_GB2312" w:hAnsi="仿宋_GB2312" w:eastAsia="仿宋_GB2312" w:cs="仿宋_GB2312"/>
          <w:sz w:val="32"/>
          <w:szCs w:val="32"/>
        </w:rPr>
        <w:t>数据通过“智慧监管一张网”归集，来源包括：市场监管、税务、社保、生态环境等部门共享数据；公共信用平台、法院判决、行政处罚等公开数据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企业自主申报信息。</w:t>
      </w:r>
      <w:r>
        <w:rPr>
          <w:rFonts w:hint="eastAsia" w:ascii="仿宋_GB2312" w:hAnsi="仿宋_GB2312" w:eastAsia="仿宋_GB2312" w:cs="仿宋_GB2312"/>
          <w:sz w:val="32"/>
          <w:szCs w:val="32"/>
          <w:lang w:val="en-US" w:eastAsia="zh-CN"/>
        </w:rPr>
        <w:t>专项指标数据来源于政府部门提供和官方平台查询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荣誉增信指标数据来源于政府部门、官方平台查询和企业自主提交。</w:t>
      </w:r>
    </w:p>
    <w:p w14:paraId="4AFF6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非官方公示或官方平台</w:t>
      </w:r>
      <w:r>
        <w:rPr>
          <w:rFonts w:hint="eastAsia" w:ascii="仿宋_GB2312" w:hAnsi="仿宋_GB2312" w:eastAsia="仿宋_GB2312" w:cs="仿宋_GB2312"/>
          <w:sz w:val="32"/>
          <w:szCs w:val="32"/>
        </w:rPr>
        <w:t>数据需经主管部门核实认定，未经核实的信息不计入评价。</w:t>
      </w:r>
    </w:p>
    <w:p w14:paraId="426EC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条（评价周期）</w:t>
      </w:r>
      <w:r>
        <w:rPr>
          <w:rFonts w:hint="eastAsia" w:ascii="仿宋_GB2312" w:hAnsi="仿宋_GB2312" w:eastAsia="仿宋_GB2312" w:cs="仿宋_GB2312"/>
          <w:sz w:val="32"/>
          <w:szCs w:val="32"/>
          <w:lang w:val="en-US" w:eastAsia="zh-CN"/>
        </w:rPr>
        <w:t>评价频次由试点工作组根据试点工作安排和实际需要确定，一般采取季度评价和动态评价相结合的方式。</w:t>
      </w:r>
    </w:p>
    <w:p w14:paraId="41755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64EDF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信用等级划分与结果应用</w:t>
      </w:r>
    </w:p>
    <w:p w14:paraId="7AB7A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十二</w:t>
      </w:r>
      <w:r>
        <w:rPr>
          <w:rFonts w:hint="eastAsia" w:ascii="黑体" w:hAnsi="黑体" w:eastAsia="黑体" w:cs="黑体"/>
          <w:sz w:val="32"/>
          <w:szCs w:val="32"/>
        </w:rPr>
        <w:t>条（等级划分）</w:t>
      </w:r>
      <w:r>
        <w:rPr>
          <w:rFonts w:hint="eastAsia" w:ascii="仿宋_GB2312" w:hAnsi="仿宋_GB2312" w:eastAsia="仿宋_GB2312" w:cs="仿宋_GB2312"/>
          <w:sz w:val="32"/>
          <w:szCs w:val="32"/>
        </w:rPr>
        <w:t xml:space="preserve">根据得分将企业信用分为四类：   </w:t>
      </w:r>
    </w:p>
    <w:p w14:paraId="61C47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A级：企业具备较好的诚信经营理念和较强的社会责任意识，</w:t>
      </w:r>
      <w:r>
        <w:rPr>
          <w:rFonts w:hint="eastAsia" w:ascii="仿宋_GB2312" w:hAnsi="仿宋_GB2312" w:eastAsia="仿宋_GB2312" w:cs="仿宋_GB2312"/>
          <w:sz w:val="32"/>
          <w:szCs w:val="32"/>
        </w:rPr>
        <w:t>履约意愿和能力极强，</w:t>
      </w:r>
      <w:r>
        <w:rPr>
          <w:rFonts w:hint="eastAsia" w:ascii="仿宋_GB2312" w:hAnsi="仿宋_GB2312" w:eastAsia="仿宋_GB2312" w:cs="仿宋_GB2312"/>
          <w:sz w:val="32"/>
          <w:szCs w:val="32"/>
          <w:lang w:val="en-US" w:eastAsia="zh-CN"/>
        </w:rPr>
        <w:t>综合表现优秀。</w:t>
      </w:r>
    </w:p>
    <w:p w14:paraId="690B0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dstrike w:val="0"/>
          <w:sz w:val="32"/>
          <w:szCs w:val="32"/>
          <w:lang w:val="en-US" w:eastAsia="zh-CN"/>
        </w:rPr>
      </w:pPr>
      <w:r>
        <w:rPr>
          <w:rFonts w:hint="eastAsia" w:ascii="仿宋_GB2312" w:hAnsi="仿宋_GB2312" w:eastAsia="仿宋_GB2312" w:cs="仿宋_GB2312"/>
          <w:sz w:val="32"/>
          <w:szCs w:val="32"/>
          <w:lang w:val="en-US" w:eastAsia="zh-CN"/>
        </w:rPr>
        <w:t>B级：企业具备一定的诚信经营理念，</w:t>
      </w:r>
      <w:r>
        <w:rPr>
          <w:rFonts w:hint="eastAsia" w:ascii="仿宋_GB2312" w:hAnsi="仿宋_GB2312" w:eastAsia="仿宋_GB2312" w:cs="仿宋_GB2312"/>
          <w:sz w:val="32"/>
          <w:szCs w:val="32"/>
        </w:rPr>
        <w:t>履约意愿和能力</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val="en-US" w:eastAsia="zh-CN"/>
        </w:rPr>
        <w:t>综合表现良好。</w:t>
      </w:r>
    </w:p>
    <w:p w14:paraId="137CE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C级：企业</w:t>
      </w:r>
      <w:r>
        <w:rPr>
          <w:rFonts w:hint="eastAsia" w:ascii="仿宋_GB2312" w:hAnsi="仿宋_GB2312" w:eastAsia="仿宋_GB2312" w:cs="仿宋_GB2312"/>
          <w:sz w:val="32"/>
          <w:szCs w:val="32"/>
        </w:rPr>
        <w:t>履约意愿和能力不足，存在一定程度的失信行为，</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尚未达到严重失信程度，综合表现较差</w:t>
      </w:r>
      <w:r>
        <w:rPr>
          <w:rFonts w:hint="eastAsia" w:ascii="仿宋_GB2312" w:hAnsi="仿宋_GB2312" w:eastAsia="仿宋_GB2312" w:cs="仿宋_GB2312"/>
          <w:sz w:val="32"/>
          <w:szCs w:val="32"/>
          <w:lang w:eastAsia="zh-CN"/>
        </w:rPr>
        <w:t>。</w:t>
      </w:r>
    </w:p>
    <w:p w14:paraId="32B6B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lang w:val="en-US" w:eastAsia="zh-CN"/>
        </w:rPr>
        <w:t>D级：企业</w:t>
      </w:r>
      <w:r>
        <w:rPr>
          <w:rFonts w:hint="eastAsia" w:ascii="仿宋_GB2312" w:hAnsi="仿宋_GB2312" w:eastAsia="仿宋_GB2312" w:cs="仿宋_GB2312"/>
          <w:sz w:val="32"/>
          <w:szCs w:val="32"/>
        </w:rPr>
        <w:t>存在严重失信行为，综合表现极差</w:t>
      </w:r>
      <w:r>
        <w:rPr>
          <w:rFonts w:hint="eastAsia" w:ascii="仿宋_GB2312" w:hAnsi="仿宋_GB2312" w:eastAsia="仿宋_GB2312" w:cs="仿宋_GB2312"/>
          <w:sz w:val="32"/>
          <w:szCs w:val="32"/>
          <w:lang w:eastAsia="zh-CN"/>
        </w:rPr>
        <w:t>。</w:t>
      </w:r>
    </w:p>
    <w:p w14:paraId="1AC75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十三</w:t>
      </w:r>
      <w:r>
        <w:rPr>
          <w:rFonts w:hint="eastAsia" w:ascii="黑体" w:hAnsi="黑体" w:eastAsia="黑体" w:cs="黑体"/>
          <w:sz w:val="32"/>
          <w:szCs w:val="32"/>
        </w:rPr>
        <w:t>条（</w:t>
      </w:r>
      <w:r>
        <w:rPr>
          <w:rFonts w:hint="eastAsia" w:ascii="黑体" w:hAnsi="黑体" w:eastAsia="黑体" w:cs="黑体"/>
          <w:sz w:val="32"/>
          <w:szCs w:val="32"/>
          <w:lang w:val="en-US" w:eastAsia="zh-CN"/>
        </w:rPr>
        <w:t>结果应用</w:t>
      </w:r>
      <w:r>
        <w:rPr>
          <w:rFonts w:hint="eastAsia" w:ascii="黑体" w:hAnsi="黑体" w:eastAsia="黑体" w:cs="黑体"/>
          <w:sz w:val="32"/>
          <w:szCs w:val="32"/>
        </w:rPr>
        <w:t>）</w:t>
      </w:r>
    </w:p>
    <w:p w14:paraId="25FF6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A类企业：在行政审批、公共服务等方面提供便利（如“绿色通道”）；在评优评先</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同等条件下</w:t>
      </w:r>
      <w:r>
        <w:rPr>
          <w:rFonts w:hint="eastAsia" w:ascii="仿宋_GB2312" w:hAnsi="仿宋_GB2312" w:eastAsia="仿宋_GB2312" w:cs="仿宋_GB2312"/>
          <w:color w:val="auto"/>
          <w:sz w:val="32"/>
          <w:szCs w:val="32"/>
        </w:rPr>
        <w:t>予以优先推荐；</w:t>
      </w:r>
      <w:r>
        <w:rPr>
          <w:rFonts w:hint="eastAsia" w:ascii="仿宋_GB2312" w:hAnsi="仿宋_GB2312" w:eastAsia="仿宋_GB2312" w:cs="仿宋_GB2312"/>
          <w:color w:val="auto"/>
          <w:sz w:val="32"/>
          <w:szCs w:val="32"/>
          <w:lang w:val="en-US" w:eastAsia="zh-CN"/>
        </w:rPr>
        <w:t>按照信用风险分类管理要求，</w:t>
      </w:r>
      <w:r>
        <w:rPr>
          <w:rFonts w:hint="eastAsia" w:ascii="仿宋_GB2312" w:hAnsi="仿宋_GB2312" w:eastAsia="仿宋_GB2312" w:cs="仿宋_GB2312"/>
          <w:color w:val="auto"/>
          <w:sz w:val="32"/>
          <w:szCs w:val="32"/>
        </w:rPr>
        <w:t>合理降低监督检查频次</w:t>
      </w:r>
      <w:r>
        <w:rPr>
          <w:rFonts w:hint="eastAsia" w:ascii="仿宋_GB2312" w:hAnsi="仿宋_GB2312" w:eastAsia="仿宋_GB2312" w:cs="仿宋_GB2312"/>
          <w:color w:val="auto"/>
          <w:sz w:val="32"/>
          <w:szCs w:val="32"/>
          <w:lang w:eastAsia="zh-CN"/>
        </w:rPr>
        <w:t>。</w:t>
      </w:r>
    </w:p>
    <w:p w14:paraId="1C350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B类企业：按常规监管要求管理，鼓励提升信用等级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C3D2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C类企业：列为重点监管对象，</w:t>
      </w:r>
      <w:r>
        <w:rPr>
          <w:rFonts w:hint="eastAsia" w:ascii="仿宋_GB2312" w:hAnsi="仿宋_GB2312" w:eastAsia="仿宋_GB2312" w:cs="仿宋_GB2312"/>
          <w:sz w:val="32"/>
          <w:szCs w:val="32"/>
          <w:lang w:val="en-US" w:eastAsia="zh-CN"/>
        </w:rPr>
        <w:t>适当</w:t>
      </w:r>
      <w:r>
        <w:rPr>
          <w:rFonts w:hint="eastAsia" w:ascii="仿宋_GB2312" w:hAnsi="仿宋_GB2312" w:eastAsia="仿宋_GB2312" w:cs="仿宋_GB2312"/>
          <w:sz w:val="32"/>
          <w:szCs w:val="32"/>
        </w:rPr>
        <w:t>增加检查频次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加强指导帮扶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9D98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D类企业：</w:t>
      </w:r>
      <w:r>
        <w:rPr>
          <w:rFonts w:hint="eastAsia" w:ascii="仿宋_GB2312" w:hAnsi="仿宋_GB2312" w:eastAsia="仿宋_GB2312" w:cs="仿宋_GB2312"/>
          <w:sz w:val="32"/>
          <w:szCs w:val="32"/>
          <w:lang w:val="en-US" w:eastAsia="zh-CN"/>
        </w:rPr>
        <w:t>根据失信情形，</w:t>
      </w:r>
      <w:r>
        <w:rPr>
          <w:rFonts w:hint="eastAsia" w:ascii="仿宋_GB2312" w:hAnsi="仿宋_GB2312" w:eastAsia="仿宋_GB2312" w:cs="仿宋_GB2312"/>
          <w:sz w:val="32"/>
          <w:szCs w:val="32"/>
        </w:rPr>
        <w:t xml:space="preserve">依法限制市场准入、招标投标资格，实施联合惩戒。  </w:t>
      </w:r>
    </w:p>
    <w:p w14:paraId="297072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5A42EC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信用评价报告</w:t>
      </w:r>
    </w:p>
    <w:p w14:paraId="470BE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评价报告</w:t>
      </w:r>
      <w:r>
        <w:rPr>
          <w:rFonts w:hint="eastAsia" w:ascii="黑体" w:hAnsi="黑体" w:eastAsia="黑体" w:cs="黑体"/>
          <w:sz w:val="32"/>
          <w:szCs w:val="32"/>
        </w:rPr>
        <w:t>）</w:t>
      </w:r>
      <w:r>
        <w:rPr>
          <w:rFonts w:hint="eastAsia" w:ascii="仿宋_GB2312" w:hAnsi="仿宋_GB2312" w:eastAsia="仿宋_GB2312" w:cs="仿宋_GB2312"/>
          <w:sz w:val="32"/>
          <w:szCs w:val="32"/>
          <w:lang w:val="en-US" w:eastAsia="zh-CN"/>
        </w:rPr>
        <w:t>在企业归集数据基础上，</w:t>
      </w:r>
      <w:r>
        <w:rPr>
          <w:rFonts w:hint="eastAsia" w:ascii="CESI仿宋-GB2312" w:hAnsi="CESI仿宋-GB2312" w:eastAsia="CESI仿宋-GB2312" w:cs="CESI仿宋-GB2312"/>
          <w:b w:val="0"/>
          <w:spacing w:val="0"/>
          <w:kern w:val="21"/>
          <w:sz w:val="32"/>
          <w:szCs w:val="32"/>
          <w:lang w:val="en-US" w:eastAsia="zh-CN" w:bidi="ar"/>
        </w:rPr>
        <w:t>编制企业信用评价报告，报告内容主要包括：</w:t>
      </w:r>
      <w:r>
        <w:rPr>
          <w:rFonts w:hint="eastAsia" w:ascii="CESI仿宋-GB2312" w:hAnsi="CESI仿宋-GB2312" w:eastAsia="CESI仿宋-GB2312" w:cs="CESI仿宋-GB2312"/>
          <w:b w:val="0"/>
          <w:kern w:val="2"/>
          <w:sz w:val="32"/>
          <w:szCs w:val="32"/>
          <w:lang w:val="en-US" w:eastAsia="zh-CN" w:bidi="ar"/>
        </w:rPr>
        <w:t>企业的信用评价分值构成、各项指标的得分和权重，企业各维度信用信息、信用状况等内容。</w:t>
      </w:r>
    </w:p>
    <w:p w14:paraId="0284D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第十五条（信息公开）</w:t>
      </w:r>
      <w:r>
        <w:rPr>
          <w:rFonts w:hint="eastAsia" w:ascii="CESI仿宋-GB2312" w:hAnsi="CESI仿宋-GB2312" w:eastAsia="CESI仿宋-GB2312" w:cs="CESI仿宋-GB2312"/>
          <w:b w:val="0"/>
          <w:spacing w:val="0"/>
          <w:kern w:val="21"/>
          <w:sz w:val="32"/>
          <w:szCs w:val="32"/>
          <w:lang w:val="en-US" w:eastAsia="zh-CN" w:bidi="ar"/>
        </w:rPr>
        <w:t>信用评价结果A级企业名单通过湖北智慧市场监管微信小程序向社会公开，并提供企业信用评价报告下载。评价结果可根据需要共享给相关政府部门、金融机构、社会组织等参考使用。</w:t>
      </w:r>
    </w:p>
    <w:p w14:paraId="13BDDE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353BC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监督管理</w:t>
      </w:r>
    </w:p>
    <w:p w14:paraId="59A54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b w:val="0"/>
          <w:spacing w:val="0"/>
          <w:kern w:val="21"/>
          <w:sz w:val="32"/>
          <w:szCs w:val="32"/>
          <w:lang w:val="en-US" w:eastAsia="zh-CN" w:bidi="ar"/>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条（异议处理）</w:t>
      </w:r>
      <w:r>
        <w:rPr>
          <w:rFonts w:hint="eastAsia" w:ascii="CESI仿宋-GB2312" w:hAnsi="CESI仿宋-GB2312" w:eastAsia="CESI仿宋-GB2312" w:cs="CESI仿宋-GB2312"/>
          <w:b w:val="0"/>
          <w:spacing w:val="0"/>
          <w:kern w:val="21"/>
          <w:sz w:val="32"/>
          <w:szCs w:val="32"/>
          <w:lang w:val="en-US" w:eastAsia="zh-CN" w:bidi="ar"/>
        </w:rPr>
        <w:t>企业对信用评价结果有异议的，可向属地市场监管部门申请复核，受理部门应在收到申请之日起15个工作日内完成复核并反馈结果。</w:t>
      </w:r>
    </w:p>
    <w:p w14:paraId="4C383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条（信用修复）</w:t>
      </w:r>
      <w:r>
        <w:rPr>
          <w:rFonts w:hint="eastAsia" w:ascii="仿宋_GB2312" w:hAnsi="仿宋_GB2312" w:eastAsia="仿宋_GB2312" w:cs="仿宋_GB2312"/>
          <w:sz w:val="32"/>
          <w:szCs w:val="32"/>
        </w:rPr>
        <w:t>失信企业可通过履行法定义务、整改失信行为、参加信用</w:t>
      </w:r>
      <w:r>
        <w:rPr>
          <w:rFonts w:hint="eastAsia" w:ascii="仿宋_GB2312" w:hAnsi="仿宋_GB2312" w:eastAsia="仿宋_GB2312" w:cs="仿宋_GB2312"/>
          <w:sz w:val="32"/>
          <w:szCs w:val="32"/>
          <w:lang w:eastAsia="zh-CN"/>
        </w:rPr>
        <w:t>合规</w:t>
      </w:r>
      <w:r>
        <w:rPr>
          <w:rFonts w:hint="eastAsia" w:ascii="仿宋_GB2312" w:hAnsi="仿宋_GB2312" w:eastAsia="仿宋_GB2312" w:cs="仿宋_GB2312"/>
          <w:sz w:val="32"/>
          <w:szCs w:val="32"/>
        </w:rPr>
        <w:t>培训等方式申请信用修复。修复后重新评价，结果同步更新。</w:t>
      </w:r>
    </w:p>
    <w:p w14:paraId="7981D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第十八条（虚假申报处理）</w:t>
      </w:r>
      <w:r>
        <w:rPr>
          <w:rFonts w:hint="eastAsia" w:ascii="仿宋_GB2312" w:hAnsi="仿宋_GB2312" w:eastAsia="仿宋_GB2312" w:cs="仿宋_GB2312"/>
          <w:sz w:val="32"/>
          <w:szCs w:val="32"/>
          <w:lang w:val="en-US" w:eastAsia="zh-CN"/>
        </w:rPr>
        <w:t xml:space="preserve"> 企业提供虚假材料获取加分的，一经查实，本次评价结果不予采信，取消试点激励政策享受资格。</w:t>
      </w:r>
    </w:p>
    <w:p w14:paraId="744A5B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p>
    <w:p w14:paraId="696CFC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 附则</w:t>
      </w:r>
    </w:p>
    <w:p w14:paraId="1BDFB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条（解释权）</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实施细则由市</w:t>
      </w:r>
      <w:r>
        <w:rPr>
          <w:rFonts w:hint="eastAsia" w:ascii="仿宋_GB2312" w:hAnsi="仿宋_GB2312" w:eastAsia="仿宋_GB2312" w:cs="仿宋_GB2312"/>
          <w:sz w:val="32"/>
          <w:szCs w:val="32"/>
        </w:rPr>
        <w:t>市场监督管理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 xml:space="preserve">负责解释。  </w:t>
      </w:r>
    </w:p>
    <w:p w14:paraId="5CFB7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条（施行日期）</w:t>
      </w:r>
      <w:r>
        <w:rPr>
          <w:rFonts w:hint="eastAsia" w:ascii="仿宋_GB2312" w:hAnsi="仿宋_GB2312" w:eastAsia="仿宋_GB2312" w:cs="仿宋_GB2312"/>
          <w:sz w:val="32"/>
          <w:szCs w:val="32"/>
          <w:lang w:eastAsia="zh-CN"/>
        </w:rPr>
        <w:t>本工作规则自</w:t>
      </w:r>
      <w:r>
        <w:rPr>
          <w:rFonts w:hint="eastAsia" w:ascii="仿宋_GB2312" w:hAnsi="仿宋_GB2312" w:eastAsia="仿宋_GB2312" w:cs="仿宋_GB2312"/>
          <w:sz w:val="32"/>
          <w:szCs w:val="32"/>
        </w:rPr>
        <w:t>发布之日起</w:t>
      </w:r>
      <w:r>
        <w:rPr>
          <w:rFonts w:hint="eastAsia" w:ascii="仿宋_GB2312" w:hAnsi="仿宋_GB2312" w:eastAsia="仿宋_GB2312" w:cs="仿宋_GB2312"/>
          <w:sz w:val="32"/>
          <w:szCs w:val="32"/>
          <w:lang w:val="en-US" w:eastAsia="zh-CN"/>
        </w:rPr>
        <w:t>施</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有效期一年。</w:t>
      </w:r>
    </w:p>
    <w:p w14:paraId="62D68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1895B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EFB5F3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 xml:space="preserve"> </w:t>
      </w:r>
    </w:p>
    <w:p w14:paraId="3A057FC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企业信用评价通用指标体系表</w:t>
      </w:r>
    </w:p>
    <w:tbl>
      <w:tblPr>
        <w:tblStyle w:val="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4"/>
        <w:gridCol w:w="1720"/>
        <w:gridCol w:w="5176"/>
      </w:tblGrid>
      <w:tr w14:paraId="752C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blHeader/>
          <w:jc w:val="center"/>
        </w:trPr>
        <w:tc>
          <w:tcPr>
            <w:tcW w:w="953" w:type="pct"/>
            <w:tcBorders>
              <w:top w:val="single" w:color="000000" w:sz="4" w:space="0"/>
              <w:left w:val="single" w:color="000000" w:sz="4" w:space="0"/>
              <w:bottom w:val="single" w:color="000000" w:sz="4" w:space="0"/>
              <w:right w:val="single" w:color="000000" w:sz="4" w:space="0"/>
            </w:tcBorders>
            <w:noWrap w:val="0"/>
            <w:vAlign w:val="center"/>
          </w:tcPr>
          <w:p w14:paraId="1F004CA0">
            <w:pPr>
              <w:keepNext w:val="0"/>
              <w:keepLines w:val="0"/>
              <w:widowControl/>
              <w:suppressLineNumbers w:val="0"/>
              <w:suppressAutoHyphens/>
              <w:bidi w:val="0"/>
              <w:spacing w:line="36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一级指标</w:t>
            </w:r>
          </w:p>
        </w:tc>
        <w:tc>
          <w:tcPr>
            <w:tcW w:w="1009" w:type="pct"/>
            <w:tcBorders>
              <w:top w:val="single" w:color="000000" w:sz="4" w:space="0"/>
              <w:left w:val="single" w:color="000000" w:sz="4" w:space="0"/>
              <w:bottom w:val="single" w:color="000000" w:sz="4" w:space="0"/>
              <w:right w:val="single" w:color="000000" w:sz="4" w:space="0"/>
            </w:tcBorders>
            <w:noWrap w:val="0"/>
            <w:vAlign w:val="center"/>
          </w:tcPr>
          <w:p w14:paraId="42A51F16">
            <w:pPr>
              <w:keepNext w:val="0"/>
              <w:keepLines w:val="0"/>
              <w:widowControl/>
              <w:suppressLineNumbers w:val="0"/>
              <w:suppressAutoHyphens/>
              <w:bidi w:val="0"/>
              <w:spacing w:line="36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二级指标</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14:paraId="26E8A2BA">
            <w:pPr>
              <w:keepNext w:val="0"/>
              <w:keepLines w:val="0"/>
              <w:widowControl/>
              <w:suppressLineNumbers w:val="0"/>
              <w:suppressAutoHyphens/>
              <w:bidi w:val="0"/>
              <w:spacing w:line="360" w:lineRule="auto"/>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三级指标</w:t>
            </w:r>
          </w:p>
        </w:tc>
      </w:tr>
      <w:tr w14:paraId="715D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414AA83A">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履约意愿</w:t>
            </w: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4E5D72D5">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企业发展情况</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6AA80DF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对外投资企业和分支机构</w:t>
            </w:r>
          </w:p>
        </w:tc>
      </w:tr>
      <w:tr w14:paraId="5C39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4F4E2D7">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5283D2E5">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6CB017F">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从业人数</w:t>
            </w:r>
          </w:p>
        </w:tc>
      </w:tr>
      <w:tr w14:paraId="68B6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8625326">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138CD062">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F328A7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成立距今时长</w:t>
            </w:r>
          </w:p>
        </w:tc>
      </w:tr>
      <w:tr w14:paraId="65E8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F9339CE">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2DA9F56D">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4ECD90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注册资本实缴比例</w:t>
            </w:r>
          </w:p>
        </w:tc>
      </w:tr>
      <w:tr w14:paraId="4D56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57211D0">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nil"/>
              <w:right w:val="single" w:color="000000" w:sz="4" w:space="0"/>
            </w:tcBorders>
            <w:noWrap/>
            <w:vAlign w:val="center"/>
          </w:tcPr>
          <w:p w14:paraId="55D0A08E">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企业治理</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4C7314B">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登记事项变更次数</w:t>
            </w:r>
          </w:p>
        </w:tc>
      </w:tr>
      <w:tr w14:paraId="63CC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DA3FC3C">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262F537E">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6228AB1">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一人多企</w:t>
            </w:r>
          </w:p>
        </w:tc>
      </w:tr>
      <w:tr w14:paraId="215A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8CECE9C">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5696A58D">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B0BF099">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一址多照</w:t>
            </w:r>
          </w:p>
        </w:tc>
      </w:tr>
      <w:tr w14:paraId="4B2B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BFEC52A">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0A6F1546">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4C569AC9">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是否年报</w:t>
            </w:r>
          </w:p>
        </w:tc>
      </w:tr>
      <w:tr w14:paraId="622B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FE37C89">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7E969F75">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4C05DBF0">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年报是否全零申报</w:t>
            </w:r>
          </w:p>
        </w:tc>
      </w:tr>
      <w:tr w14:paraId="2ED3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DF379F5">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1F042928">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7161EB6">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企业账户开销户信息</w:t>
            </w:r>
          </w:p>
        </w:tc>
      </w:tr>
      <w:tr w14:paraId="1112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89B2B1D">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nil"/>
              <w:right w:val="single" w:color="000000" w:sz="4" w:space="0"/>
            </w:tcBorders>
            <w:noWrap/>
            <w:vAlign w:val="center"/>
          </w:tcPr>
          <w:p w14:paraId="7730C55D">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品牌形象</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8182A84">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有效注册商标数量</w:t>
            </w:r>
          </w:p>
        </w:tc>
      </w:tr>
      <w:tr w14:paraId="0378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86A96A4">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1971F80B">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202D303">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许可数量</w:t>
            </w:r>
          </w:p>
        </w:tc>
      </w:tr>
      <w:tr w14:paraId="3692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7C3D5178">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2B4D921F">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5588EDB">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近三年受国家级、省级、市级表彰激励情况</w:t>
            </w:r>
          </w:p>
        </w:tc>
      </w:tr>
      <w:tr w14:paraId="746B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F644512">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2E51B08B">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B332612">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企业近三年内知识产权案件侵权情况</w:t>
            </w:r>
          </w:p>
        </w:tc>
      </w:tr>
      <w:tr w14:paraId="07B4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7AC3931">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6E5BDB89">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EF28362">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企业近三年内法院判决情况</w:t>
            </w:r>
          </w:p>
        </w:tc>
      </w:tr>
      <w:tr w14:paraId="3423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55673EC">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0673B6D3">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622354F1">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企业良好行为</w:t>
            </w:r>
          </w:p>
        </w:tc>
      </w:tr>
      <w:tr w14:paraId="7EE0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744B666">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nil"/>
              <w:right w:val="single" w:color="000000" w:sz="4" w:space="0"/>
            </w:tcBorders>
            <w:noWrap/>
            <w:vAlign w:val="center"/>
          </w:tcPr>
          <w:p w14:paraId="08F109BB">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71ED9ED">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是否具有网络文化经营许可证</w:t>
            </w:r>
          </w:p>
        </w:tc>
      </w:tr>
      <w:tr w14:paraId="3C89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796702EB">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履约能力</w:t>
            </w: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06862B52">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财务能力</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3FFB8E99">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三年内亏损情况</w:t>
            </w:r>
          </w:p>
        </w:tc>
      </w:tr>
      <w:tr w14:paraId="0640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7EC3080">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5ADBDB8F">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93B8A80">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企业上年度营业额</w:t>
            </w:r>
          </w:p>
        </w:tc>
      </w:tr>
      <w:tr w14:paraId="7CCD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0B074BA">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08F290AA">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B54117A">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近一年的资产负债率</w:t>
            </w:r>
          </w:p>
        </w:tc>
      </w:tr>
      <w:tr w14:paraId="2886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FD2AD52">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63687102">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35F6543F">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三年内资不抵债情况</w:t>
            </w:r>
          </w:p>
        </w:tc>
      </w:tr>
      <w:tr w14:paraId="400D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2F354B7">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6755BFE8">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E1E7DB1">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企业是否破产清算</w:t>
            </w:r>
          </w:p>
        </w:tc>
      </w:tr>
      <w:tr w14:paraId="1B6F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2EF1D9D2">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noWrap w:val="0"/>
            <w:vAlign w:val="center"/>
          </w:tcPr>
          <w:p w14:paraId="55596F26">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研发能力</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086BF1C">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有效专利数量</w:t>
            </w:r>
          </w:p>
        </w:tc>
      </w:tr>
      <w:tr w14:paraId="2F3F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5B04C36">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single" w:color="000000" w:sz="4" w:space="0"/>
              <w:right w:val="single" w:color="000000" w:sz="4" w:space="0"/>
            </w:tcBorders>
            <w:noWrap w:val="0"/>
            <w:vAlign w:val="center"/>
          </w:tcPr>
          <w:p w14:paraId="0BAF35D6">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市场能力</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8D45808">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公开招标结果</w:t>
            </w:r>
          </w:p>
        </w:tc>
      </w:tr>
      <w:tr w14:paraId="33D7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71B0B6E">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5BB0D">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359C49F0">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竞争性谈判结果</w:t>
            </w:r>
          </w:p>
        </w:tc>
      </w:tr>
      <w:tr w14:paraId="55AE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474E731">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tcBorders>
              <w:top w:val="nil"/>
              <w:left w:val="single" w:color="000000" w:sz="4" w:space="0"/>
              <w:bottom w:val="nil"/>
              <w:right w:val="single" w:color="000000" w:sz="4" w:space="0"/>
            </w:tcBorders>
            <w:noWrap/>
            <w:vAlign w:val="center"/>
          </w:tcPr>
          <w:p w14:paraId="0D9C3E5E">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党建工作</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910B910">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党建情况</w:t>
            </w:r>
          </w:p>
        </w:tc>
      </w:tr>
      <w:tr w14:paraId="28FF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restart"/>
            <w:tcBorders>
              <w:top w:val="single" w:color="000000" w:sz="4" w:space="0"/>
              <w:left w:val="single" w:color="000000" w:sz="4" w:space="0"/>
              <w:bottom w:val="single" w:color="000000" w:sz="4" w:space="0"/>
              <w:right w:val="single" w:color="000000" w:sz="4" w:space="0"/>
            </w:tcBorders>
            <w:noWrap/>
            <w:vAlign w:val="center"/>
          </w:tcPr>
          <w:p w14:paraId="37ACA0D6">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履约行为</w:t>
            </w: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2800A4D4">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公共信用</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63FEA6B">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当前是否列异</w:t>
            </w:r>
          </w:p>
        </w:tc>
      </w:tr>
      <w:tr w14:paraId="6BC0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9B4DCAA">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5370D3D1">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6BB16F0">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近三年内列异次数</w:t>
            </w:r>
          </w:p>
        </w:tc>
      </w:tr>
      <w:tr w14:paraId="3713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7AAD1BD1">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7020B84D">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5CD02B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是否存在信用修复情况</w:t>
            </w:r>
          </w:p>
        </w:tc>
      </w:tr>
      <w:tr w14:paraId="3C1D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4C1F4FC">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1AD5FB44">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CC3488B">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当前是否列入严重违法失信名单</w:t>
            </w:r>
          </w:p>
        </w:tc>
      </w:tr>
      <w:tr w14:paraId="5BAA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21CD127">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7B728ACA">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356037D3">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三年内行政处罚情况</w:t>
            </w:r>
          </w:p>
        </w:tc>
      </w:tr>
      <w:tr w14:paraId="38DC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58B48099">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4717F242">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3572C4AF">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当前是否存在违反承诺情形</w:t>
            </w:r>
          </w:p>
        </w:tc>
      </w:tr>
      <w:tr w14:paraId="1F25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64CC9D7">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31D4A2FF">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87434B8">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行政检查情况</w:t>
            </w:r>
          </w:p>
        </w:tc>
      </w:tr>
      <w:tr w14:paraId="0985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F3CCCA3">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3023618F">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D98D97C">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网络监测违法线索情况</w:t>
            </w:r>
          </w:p>
        </w:tc>
      </w:tr>
      <w:tr w14:paraId="24CF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E436469">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107EBC17">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62A31099">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12315投诉举报情况</w:t>
            </w:r>
          </w:p>
        </w:tc>
      </w:tr>
      <w:tr w14:paraId="2B86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157A18E2">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2B185734">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守信信息</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0BF71C43">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水电煤气缴纳情况</w:t>
            </w:r>
          </w:p>
        </w:tc>
      </w:tr>
      <w:tr w14:paraId="47D9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86E8E8E">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3C0BDCDE">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6D221A32">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信用承诺情况</w:t>
            </w:r>
          </w:p>
        </w:tc>
      </w:tr>
      <w:tr w14:paraId="54DB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CCD22F1">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204A539A">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7D0B81C5">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其他信用情况</w:t>
            </w:r>
          </w:p>
        </w:tc>
      </w:tr>
      <w:tr w14:paraId="7D59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60EB31B3">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7E1894C2">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信用分类信息</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5B3FA5E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企业信用分类情况</w:t>
            </w:r>
          </w:p>
        </w:tc>
      </w:tr>
      <w:tr w14:paraId="1440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9DC5722">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422E3F2B">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474E7B2A">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用人单位诚信等级情况</w:t>
            </w:r>
          </w:p>
        </w:tc>
      </w:tr>
      <w:tr w14:paraId="75B9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303B5BC9">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681AB310">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26D5CEF3">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纳税信用等级情况</w:t>
            </w:r>
          </w:p>
        </w:tc>
      </w:tr>
      <w:tr w14:paraId="34AB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01926D5">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5E86E85E">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5D85391">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生态环境信用等级情况</w:t>
            </w:r>
          </w:p>
        </w:tc>
      </w:tr>
      <w:tr w14:paraId="41FC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341F007">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restart"/>
            <w:tcBorders>
              <w:top w:val="single" w:color="000000" w:sz="4" w:space="0"/>
              <w:left w:val="single" w:color="000000" w:sz="4" w:space="0"/>
              <w:bottom w:val="single" w:color="000000" w:sz="4" w:space="0"/>
              <w:right w:val="single" w:color="000000" w:sz="4" w:space="0"/>
            </w:tcBorders>
            <w:noWrap/>
            <w:vAlign w:val="center"/>
          </w:tcPr>
          <w:p w14:paraId="1F557D64">
            <w:pPr>
              <w:keepNext w:val="0"/>
              <w:keepLines w:val="0"/>
              <w:widowControl/>
              <w:suppressLineNumbers w:val="0"/>
              <w:suppressAutoHyphens/>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税务社保履约</w:t>
            </w: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17CD1267">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是否纳税申报</w:t>
            </w:r>
          </w:p>
        </w:tc>
      </w:tr>
      <w:tr w14:paraId="4FBA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465831F5">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4BBD409D">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6A8FDF4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是否非正常纳税户</w:t>
            </w:r>
          </w:p>
        </w:tc>
      </w:tr>
      <w:tr w14:paraId="0E0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3" w:type="pct"/>
            <w:vMerge w:val="continue"/>
            <w:tcBorders>
              <w:top w:val="single" w:color="000000" w:sz="4" w:space="0"/>
              <w:left w:val="single" w:color="000000" w:sz="4" w:space="0"/>
              <w:bottom w:val="single" w:color="000000" w:sz="4" w:space="0"/>
              <w:right w:val="single" w:color="000000" w:sz="4" w:space="0"/>
            </w:tcBorders>
            <w:noWrap/>
            <w:vAlign w:val="center"/>
          </w:tcPr>
          <w:p w14:paraId="00EF7CB8">
            <w:pPr>
              <w:suppressAutoHyphens/>
              <w:bidi w:val="0"/>
              <w:spacing w:line="360" w:lineRule="auto"/>
              <w:jc w:val="center"/>
              <w:rPr>
                <w:rFonts w:hint="eastAsia" w:ascii="仿宋" w:hAnsi="仿宋" w:eastAsia="仿宋" w:cs="仿宋"/>
                <w:i w:val="0"/>
                <w:iCs w:val="0"/>
                <w:color w:val="000000"/>
                <w:sz w:val="24"/>
                <w:szCs w:val="24"/>
                <w:u w:val="none"/>
              </w:rPr>
            </w:pPr>
          </w:p>
        </w:tc>
        <w:tc>
          <w:tcPr>
            <w:tcW w:w="1009" w:type="pct"/>
            <w:vMerge w:val="continue"/>
            <w:tcBorders>
              <w:top w:val="single" w:color="000000" w:sz="4" w:space="0"/>
              <w:left w:val="single" w:color="000000" w:sz="4" w:space="0"/>
              <w:bottom w:val="single" w:color="000000" w:sz="4" w:space="0"/>
              <w:right w:val="single" w:color="000000" w:sz="4" w:space="0"/>
            </w:tcBorders>
            <w:noWrap/>
            <w:vAlign w:val="center"/>
          </w:tcPr>
          <w:p w14:paraId="4CA93DFE">
            <w:pPr>
              <w:suppressAutoHyphens/>
              <w:bidi w:val="0"/>
              <w:spacing w:line="360" w:lineRule="auto"/>
              <w:jc w:val="center"/>
              <w:rPr>
                <w:rFonts w:hint="eastAsia" w:ascii="仿宋" w:hAnsi="仿宋" w:eastAsia="仿宋" w:cs="仿宋"/>
                <w:i w:val="0"/>
                <w:iCs w:val="0"/>
                <w:color w:val="000000"/>
                <w:sz w:val="24"/>
                <w:szCs w:val="24"/>
                <w:u w:val="none"/>
              </w:rPr>
            </w:pPr>
          </w:p>
        </w:tc>
        <w:tc>
          <w:tcPr>
            <w:tcW w:w="3036" w:type="pct"/>
            <w:tcBorders>
              <w:top w:val="single" w:color="000000" w:sz="4" w:space="0"/>
              <w:left w:val="single" w:color="000000" w:sz="4" w:space="0"/>
              <w:bottom w:val="single" w:color="000000" w:sz="4" w:space="0"/>
              <w:right w:val="single" w:color="000000" w:sz="4" w:space="0"/>
            </w:tcBorders>
            <w:noWrap/>
            <w:vAlign w:val="center"/>
          </w:tcPr>
          <w:p w14:paraId="4E1CB7F3">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是否正常参与社会保险</w:t>
            </w:r>
          </w:p>
        </w:tc>
      </w:tr>
    </w:tbl>
    <w:p w14:paraId="7DFEBBAE">
      <w:pPr>
        <w:keepNext w:val="0"/>
        <w:keepLines w:val="0"/>
        <w:widowControl/>
        <w:suppressLineNumbers w:val="0"/>
        <w:suppressAutoHyphens/>
        <w:bidi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sectPr>
          <w:pgSz w:w="11906" w:h="16838"/>
          <w:pgMar w:top="1440" w:right="1800" w:bottom="1440" w:left="1800" w:header="851" w:footer="992" w:gutter="0"/>
          <w:cols w:space="425" w:num="1"/>
          <w:docGrid w:type="lines" w:linePitch="312" w:charSpace="0"/>
        </w:sectPr>
      </w:pPr>
    </w:p>
    <w:p w14:paraId="41673DC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 xml:space="preserve">2 </w:t>
      </w:r>
    </w:p>
    <w:p w14:paraId="4CDA07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绿色建材行业信用评价指标</w:t>
      </w:r>
    </w:p>
    <w:tbl>
      <w:tblPr>
        <w:tblStyle w:val="3"/>
        <w:tblW w:w="53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0"/>
        <w:gridCol w:w="1340"/>
        <w:gridCol w:w="2283"/>
        <w:gridCol w:w="4319"/>
        <w:gridCol w:w="3801"/>
        <w:gridCol w:w="1969"/>
      </w:tblGrid>
      <w:tr w14:paraId="3727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5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评价维度</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7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一级指标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4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二级指标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F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指标内容及解释</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F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计分标准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C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数据来源</w:t>
            </w:r>
          </w:p>
        </w:tc>
      </w:tr>
      <w:tr w14:paraId="5675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76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绿色生产与低碳绩效(1.7分)</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535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碳排放管理(1.1分)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37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碳市场履约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(0.4分)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22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企业是否纳入全国碳排放权交易市场重点排放单位名录，并按期完成碳排放配额清缴。</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2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纳入全国重点排放单位名录且按期履约:0.4分；</w:t>
            </w:r>
          </w:p>
          <w:p w14:paraId="254F3C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纳入省级重点排放单位名录且按期履约:0.2分；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D8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黄石市生态环境局大冶分局</w:t>
            </w:r>
          </w:p>
        </w:tc>
      </w:tr>
      <w:tr w14:paraId="33F3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6DAD">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64DF">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60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直接涉碳产品认证与碳披露</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14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企业是否获得直接涉碳类碳披露产品认证或碳中和类认证（证书在“全国认证认可信息公共服务平台”显示为“有效”状态，按最高等级计分，不按产品累加）</w:t>
            </w:r>
            <w:r>
              <w:rPr>
                <w:rStyle w:val="6"/>
                <w:rFonts w:hint="eastAsia" w:ascii="仿宋" w:hAnsi="仿宋" w:eastAsia="仿宋" w:cs="仿宋"/>
                <w:color w:val="auto"/>
                <w:sz w:val="24"/>
                <w:szCs w:val="24"/>
                <w:lang w:val="en-US" w:eastAsia="zh-CN" w:bidi="ar"/>
              </w:rPr>
              <w:t>；</w:t>
            </w:r>
            <w:r>
              <w:rPr>
                <w:rStyle w:val="7"/>
                <w:rFonts w:hint="eastAsia" w:ascii="仿宋" w:hAnsi="仿宋" w:eastAsia="仿宋" w:cs="仿宋"/>
                <w:color w:val="auto"/>
                <w:sz w:val="24"/>
                <w:szCs w:val="24"/>
                <w:lang w:val="en-US" w:eastAsia="zh-CN" w:bidi="ar"/>
              </w:rPr>
              <w:t>是否完成ESG信息披露报告发布。</w:t>
            </w:r>
            <w:r>
              <w:rPr>
                <w:rStyle w:val="6"/>
                <w:rFonts w:hint="eastAsia" w:ascii="仿宋" w:hAnsi="仿宋" w:eastAsia="仿宋" w:cs="仿宋"/>
                <w:color w:val="auto"/>
                <w:sz w:val="24"/>
                <w:szCs w:val="24"/>
                <w:lang w:val="en-US" w:eastAsia="zh-CN" w:bidi="ar"/>
              </w:rPr>
              <w:t>若企业同时满足两个条件，按最高分值计分，不重复累加。</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48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6"/>
                <w:rFonts w:hint="eastAsia" w:ascii="仿宋" w:hAnsi="仿宋" w:eastAsia="仿宋" w:cs="仿宋"/>
                <w:color w:val="auto"/>
                <w:sz w:val="24"/>
                <w:szCs w:val="24"/>
                <w:lang w:val="en-US" w:eastAsia="zh-CN" w:bidi="ar"/>
              </w:rPr>
              <w:t>获得直接涉碳碳披露/碳中和认证：0.3分；</w:t>
            </w:r>
            <w:r>
              <w:rPr>
                <w:rStyle w:val="6"/>
                <w:rFonts w:hint="eastAsia" w:ascii="仿宋" w:hAnsi="仿宋" w:eastAsia="仿宋" w:cs="仿宋"/>
                <w:color w:val="auto"/>
                <w:sz w:val="24"/>
                <w:szCs w:val="24"/>
                <w:lang w:val="en-US" w:eastAsia="zh-CN" w:bidi="ar"/>
              </w:rPr>
              <w:br w:type="textWrapping"/>
            </w:r>
            <w:r>
              <w:rPr>
                <w:rStyle w:val="7"/>
                <w:rFonts w:hint="eastAsia" w:ascii="仿宋" w:hAnsi="仿宋" w:eastAsia="仿宋" w:cs="仿宋"/>
                <w:color w:val="auto"/>
                <w:sz w:val="24"/>
                <w:szCs w:val="24"/>
                <w:lang w:val="en-US" w:eastAsia="zh-CN" w:bidi="ar"/>
              </w:rPr>
              <w:t>企业未获得认证，但完成ESG信息披露报告发布：0.15分；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D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r>
              <w:rPr>
                <w:rStyle w:val="6"/>
                <w:rFonts w:hint="eastAsia" w:ascii="仿宋" w:hAnsi="仿宋" w:eastAsia="仿宋" w:cs="仿宋"/>
                <w:color w:val="auto"/>
                <w:sz w:val="24"/>
                <w:szCs w:val="24"/>
                <w:lang w:val="en-US" w:eastAsia="zh-CN" w:bidi="ar"/>
              </w:rPr>
              <w:br w:type="textWrapping"/>
            </w:r>
            <w:r>
              <w:rPr>
                <w:rStyle w:val="7"/>
                <w:rFonts w:hint="eastAsia" w:ascii="仿宋" w:hAnsi="仿宋" w:eastAsia="仿宋" w:cs="仿宋"/>
                <w:color w:val="auto"/>
                <w:sz w:val="24"/>
                <w:szCs w:val="24"/>
                <w:lang w:val="en-US" w:eastAsia="zh-CN" w:bidi="ar"/>
              </w:rPr>
              <w:t>中国建筑材料联合会</w:t>
            </w:r>
          </w:p>
        </w:tc>
      </w:tr>
      <w:tr w14:paraId="50C8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DDFE">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EFAE">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C3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碳减排类产品认证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(0.4分)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BD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企业是否获得低碳产品认证或产品碳足迹标识认证（碳标签）。按企业获得的最高认证状态计分，不按产品累加。若企业多个产品均获得认证，以认证状态最佳的产品为准计分。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7F2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同时获得低碳产品认证和碳标签：0.4分；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仅获得其中一种：0.2分；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2B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p>
        </w:tc>
      </w:tr>
      <w:tr w14:paraId="1867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30EC">
            <w:pPr>
              <w:jc w:val="center"/>
              <w:rPr>
                <w:rFonts w:hint="eastAsia" w:ascii="仿宋" w:hAnsi="仿宋" w:eastAsia="仿宋" w:cs="仿宋"/>
                <w:i w:val="0"/>
                <w:iCs w:val="0"/>
                <w:color w:val="auto"/>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FA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能源效率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5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节能技术改造实施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BA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近三年是否实施节能技改项目(电机能效提升、余热利用、窑炉改造等)</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B3F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实施2项及以上0.3分:</w:t>
            </w:r>
          </w:p>
          <w:p w14:paraId="424D04D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实施1项0.15分: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33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市发改局</w:t>
            </w:r>
          </w:p>
        </w:tc>
      </w:tr>
      <w:tr w14:paraId="1FA7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1E8C">
            <w:pPr>
              <w:jc w:val="center"/>
              <w:rPr>
                <w:rFonts w:hint="eastAsia" w:ascii="仿宋" w:hAnsi="仿宋" w:eastAsia="仿宋" w:cs="仿宋"/>
                <w:i w:val="0"/>
                <w:iCs w:val="0"/>
                <w:color w:val="auto"/>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A1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环保合规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67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污染物达标排放情况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29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6"/>
                <w:rFonts w:hint="eastAsia" w:ascii="仿宋" w:hAnsi="仿宋" w:eastAsia="仿宋" w:cs="仿宋"/>
                <w:color w:val="auto"/>
                <w:sz w:val="24"/>
                <w:szCs w:val="24"/>
                <w:lang w:val="en-US" w:eastAsia="zh-CN" w:bidi="ar"/>
              </w:rPr>
              <w:t>颗粒物、SO</w:t>
            </w:r>
            <w:r>
              <w:rPr>
                <w:rStyle w:val="8"/>
                <w:rFonts w:hint="eastAsia" w:ascii="仿宋" w:hAnsi="仿宋" w:eastAsia="仿宋" w:cs="仿宋"/>
                <w:color w:val="auto"/>
                <w:sz w:val="24"/>
                <w:szCs w:val="24"/>
                <w:lang w:val="en-US" w:eastAsia="zh-CN" w:bidi="ar"/>
              </w:rPr>
              <w:t>₂</w:t>
            </w:r>
            <w:r>
              <w:rPr>
                <w:rStyle w:val="6"/>
                <w:rFonts w:hint="eastAsia" w:ascii="仿宋" w:hAnsi="仿宋" w:eastAsia="仿宋" w:cs="仿宋"/>
                <w:color w:val="auto"/>
                <w:sz w:val="24"/>
                <w:szCs w:val="24"/>
                <w:lang w:val="en-US" w:eastAsia="zh-CN" w:bidi="ar"/>
              </w:rPr>
              <w:t>、NOx等主要污染物稳定达标排放及超低排放改造完成情况</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B6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稳定达标且完成超低改造：0.3分；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达标但未改造：0.15分；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893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黄石市生态环境局大冶分局</w:t>
            </w:r>
          </w:p>
        </w:tc>
      </w:tr>
      <w:tr w14:paraId="2FE1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60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绿色建材认证与产品品质(2.2分)</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6F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绿色产品与绿色建材认证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63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认证等级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(0.6分)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9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企业所获得的最高等级绿色建材认证或绿色产品认证。互认规则：绿色产品全项认证等同三星级，分项认证等同二星级。按最高等级计分，不重复累计。</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E86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三星级或绿色产品全项认证：0.6分；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二星级或绿色产品分项认证：0.4分；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一星级：0.2分；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2D7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p>
        </w:tc>
      </w:tr>
      <w:tr w14:paraId="3FFD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B5BC">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2ADF">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0C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获证产品种类及证书有效性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(0.4分)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5F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获得绿色建材认证或绿色产品认证的产品种类数量（按《绿色建材产品分级目录》中的产品大类统计，不同规格型号不重复计数）；认证证书须在国家认监委统一查询平台中显示为“有效”状态，不区分不同大类间的有效期差异。若证书状态为“暂停”或“撤销”，则该产品不计入有效种类。</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151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≥3类且证书有效：0.4分；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1～2类且证书有效：0.2分；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D1F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p>
        </w:tc>
      </w:tr>
      <w:tr w14:paraId="47C9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121C">
            <w:pPr>
              <w:jc w:val="center"/>
              <w:rPr>
                <w:rFonts w:hint="eastAsia" w:ascii="仿宋" w:hAnsi="仿宋" w:eastAsia="仿宋" w:cs="仿宋"/>
                <w:i w:val="0"/>
                <w:iCs w:val="0"/>
                <w:color w:val="auto"/>
                <w:sz w:val="24"/>
                <w:szCs w:val="24"/>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310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产品质量与管理(1.2分)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E8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管理体系建设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(0.8分)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A2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是否通过质量管理体系（ISO9001）、环境管理体系（ISO14001）、职业健康安全管理体系（ISO45001）、能源管理体系（ISO50001）认证。</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62E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通过四项：0.8分；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通过三项：0.6分；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通过两项：0.4分；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通过一项：0.2分；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12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p>
        </w:tc>
      </w:tr>
      <w:tr w14:paraId="39D2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36AE">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D290">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F1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产品质量追溯体系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(0.4分)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84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以二维码等信息方式为载体的产品质量溯源系统覆盖情况；能否通过扫码查询执行标准、生产批次、检验报告、产品流向等信息。</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F7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全覆盖且可追溯：0.4分；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部分覆盖：0.2分；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BAA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市场监管局</w:t>
            </w:r>
          </w:p>
        </w:tc>
      </w:tr>
      <w:tr w14:paraId="2DA4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14C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安全生产与职业健康(1.0分)</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C26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工伤事故与职业健康(1.0分)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B3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工伤事故记录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(0.6分)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06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近三年工伤事故记录及整改情况（不含工亡）。重伤按GB6441-86（2026年7月1日前）/GB6441-2025(2026年7月1日起）认定；“已整改到位”需提供闭环整改报告并经评价机构审核认可。</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2196">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Style w:val="6"/>
                <w:rFonts w:hint="eastAsia" w:ascii="仿宋" w:hAnsi="仿宋" w:eastAsia="仿宋" w:cs="仿宋"/>
                <w:color w:val="auto"/>
                <w:sz w:val="24"/>
                <w:szCs w:val="24"/>
                <w:lang w:val="en-US" w:eastAsia="zh-CN" w:bidi="ar"/>
              </w:rPr>
              <w:t>近三年无任何工伤事故（含轻伤）：0.6分；</w:t>
            </w:r>
            <w:r>
              <w:rPr>
                <w:rStyle w:val="6"/>
                <w:rFonts w:hint="eastAsia" w:ascii="仿宋" w:hAnsi="仿宋" w:eastAsia="仿宋" w:cs="仿宋"/>
                <w:color w:val="auto"/>
                <w:sz w:val="24"/>
                <w:szCs w:val="24"/>
                <w:lang w:val="en-US" w:eastAsia="zh-CN" w:bidi="ar"/>
              </w:rPr>
              <w:br w:type="textWrapping"/>
            </w:r>
            <w:r>
              <w:rPr>
                <w:rStyle w:val="6"/>
                <w:rFonts w:hint="eastAsia" w:ascii="仿宋" w:hAnsi="仿宋" w:eastAsia="仿宋" w:cs="仿宋"/>
                <w:color w:val="auto"/>
                <w:sz w:val="24"/>
                <w:szCs w:val="24"/>
                <w:lang w:val="en-US" w:eastAsia="zh-CN" w:bidi="ar"/>
              </w:rPr>
              <w:t>近三年发生一般工伤事故1-2起，且已整改到位，整改后一年内无新事故：0.4分；</w:t>
            </w:r>
            <w:r>
              <w:rPr>
                <w:rStyle w:val="6"/>
                <w:rFonts w:hint="eastAsia" w:ascii="仿宋" w:hAnsi="仿宋" w:eastAsia="仿宋" w:cs="仿宋"/>
                <w:color w:val="auto"/>
                <w:sz w:val="24"/>
                <w:szCs w:val="24"/>
                <w:lang w:val="en-US" w:eastAsia="zh-CN" w:bidi="ar"/>
              </w:rPr>
              <w:br w:type="textWrapping"/>
            </w:r>
            <w:r>
              <w:rPr>
                <w:rStyle w:val="6"/>
                <w:rFonts w:hint="eastAsia" w:ascii="仿宋" w:hAnsi="仿宋" w:eastAsia="仿宋" w:cs="仿宋"/>
                <w:color w:val="auto"/>
                <w:sz w:val="24"/>
                <w:szCs w:val="24"/>
                <w:lang w:val="en-US" w:eastAsia="zh-CN" w:bidi="ar"/>
              </w:rPr>
              <w:t>近三年发生一般工伤事故3起及以上或发生过重伤事故，且已整改到位，整改后一年内无新事故：0.2分；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1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市应急管理局</w:t>
            </w:r>
          </w:p>
        </w:tc>
      </w:tr>
      <w:tr w14:paraId="1FCB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AD8F">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15D6">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B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职业健康管理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(0.4分)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28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Style w:val="7"/>
                <w:rFonts w:hint="eastAsia" w:ascii="仿宋" w:hAnsi="仿宋" w:eastAsia="仿宋" w:cs="仿宋"/>
                <w:color w:val="auto"/>
                <w:sz w:val="24"/>
                <w:szCs w:val="24"/>
                <w:lang w:val="en-US" w:eastAsia="zh-CN" w:bidi="ar"/>
              </w:rPr>
              <w:t>企业是否依法委托具备资质的职业卫生技术服务机构完成工作场所职业病危害因素定期检测并合格；是否按要求组织接触职业病危害因素的劳动者进行职业健康检查。</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7F6D">
            <w:pPr>
              <w:keepNext w:val="0"/>
              <w:keepLines w:val="0"/>
              <w:widowControl/>
              <w:suppressLineNumbers w:val="0"/>
              <w:jc w:val="left"/>
              <w:textAlignment w:val="center"/>
              <w:rPr>
                <w:rStyle w:val="7"/>
                <w:rFonts w:hint="eastAsia" w:ascii="仿宋" w:hAnsi="仿宋" w:eastAsia="仿宋" w:cs="仿宋"/>
                <w:color w:val="auto"/>
                <w:sz w:val="24"/>
                <w:szCs w:val="24"/>
                <w:lang w:val="en-US" w:eastAsia="zh-CN" w:bidi="ar"/>
              </w:rPr>
            </w:pPr>
            <w:r>
              <w:rPr>
                <w:rStyle w:val="7"/>
                <w:rFonts w:hint="eastAsia" w:ascii="仿宋" w:hAnsi="仿宋" w:eastAsia="仿宋" w:cs="仿宋"/>
                <w:color w:val="auto"/>
                <w:sz w:val="24"/>
                <w:szCs w:val="24"/>
                <w:lang w:val="en-US" w:eastAsia="zh-CN" w:bidi="ar"/>
              </w:rPr>
              <w:t>依法完成定期检测且结果合格、同时职业健康检查覆盖率100%：0.4分；</w:t>
            </w:r>
          </w:p>
          <w:p w14:paraId="2AC778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Style w:val="7"/>
                <w:rFonts w:hint="eastAsia" w:ascii="仿宋" w:hAnsi="仿宋" w:eastAsia="仿宋" w:cs="仿宋"/>
                <w:color w:val="auto"/>
                <w:sz w:val="24"/>
                <w:szCs w:val="24"/>
                <w:lang w:val="en-US" w:eastAsia="zh-CN" w:bidi="ar"/>
              </w:rPr>
              <w:t>依法完成定期检测且结果合格，但职业健康检查覆盖率80%～100%：0.2分。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DC5B">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市卫健局</w:t>
            </w:r>
          </w:p>
        </w:tc>
      </w:tr>
      <w:tr w14:paraId="418C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23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科技创新与数字化转型(2.1分)</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F52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科技创新能力(1.1分)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C5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研发投入强度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(0.8分)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26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研发费用占营业收入的比例。采用上一年度统计局科技统计年报数据（规上工业企业研发经费内部支出÷主营业务收入×100%）。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5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≥3%：0.8分；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2%～3%：0.6分；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1%～2%：0.4分；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0.5%～1%：0.2分。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03F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市统计局</w:t>
            </w:r>
          </w:p>
        </w:tc>
      </w:tr>
      <w:tr w14:paraId="6147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B534">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9D10">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F4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标准制定参与度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(0.3分)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9B7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参与国际/国家/行业/团体/企业标准制定的层级，以获得最高层级为计分标准，不累加。</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2C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主导或参与国家、行业标准制修订：0.3分；</w:t>
            </w:r>
          </w:p>
          <w:p w14:paraId="1FB0EDD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主导或参与地方标准、团体标准制修订：0.2分；</w:t>
            </w:r>
          </w:p>
          <w:p w14:paraId="4407346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参与企业标准制修订：0.1分。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D9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市市场监管局</w:t>
            </w:r>
          </w:p>
        </w:tc>
      </w:tr>
      <w:tr w14:paraId="367A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D6E4">
            <w:pPr>
              <w:jc w:val="center"/>
              <w:rPr>
                <w:rFonts w:hint="eastAsia" w:ascii="仿宋" w:hAnsi="仿宋" w:eastAsia="仿宋" w:cs="仿宋"/>
                <w:i w:val="0"/>
                <w:iCs w:val="0"/>
                <w:color w:val="auto"/>
                <w:sz w:val="24"/>
                <w:szCs w:val="24"/>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9C6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智能制造与数字化转型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07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智能化生产水平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(0.5分)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A4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智能工厂建设及生产自动化程度（如DCS控制系统、工业机器人应用等），按领航/卓越/先进/基础分级。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3F3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领航：0.5分；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卓越：0.3分；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先进：0.1分；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B64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市经信局</w:t>
            </w:r>
          </w:p>
        </w:tc>
      </w:tr>
      <w:tr w14:paraId="75B6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35BF">
            <w:pPr>
              <w:jc w:val="center"/>
              <w:rPr>
                <w:rFonts w:hint="eastAsia" w:ascii="仿宋" w:hAnsi="仿宋" w:eastAsia="仿宋" w:cs="仿宋"/>
                <w:i w:val="0"/>
                <w:iCs w:val="0"/>
                <w:color w:val="auto"/>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0971">
            <w:pPr>
              <w:jc w:val="center"/>
              <w:rPr>
                <w:rFonts w:hint="eastAsia" w:ascii="仿宋" w:hAnsi="仿宋" w:eastAsia="仿宋" w:cs="仿宋"/>
                <w:i w:val="0"/>
                <w:iCs w:val="0"/>
                <w:color w:val="auto"/>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DF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数据管理能力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(0.5分)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5D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生产运营数据（产量、能耗、排放、质量）的数字化采集与互联互通，按数字化水平一至四级分级。</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99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四级：0.5分；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三级：0.3分；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二级：0.1分；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E6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市经信局</w:t>
            </w:r>
          </w:p>
        </w:tc>
      </w:tr>
    </w:tbl>
    <w:p w14:paraId="13BEE9A0">
      <w:pPr>
        <w:numPr>
          <w:ilvl w:val="0"/>
          <w:numId w:val="0"/>
        </w:numPr>
        <w:jc w:val="left"/>
        <w:rPr>
          <w:rFonts w:hint="eastAsia" w:ascii="仿宋_GB2312" w:hAnsi="仿宋_GB2312" w:eastAsia="仿宋_GB2312" w:cs="仿宋_GB2312"/>
          <w:sz w:val="32"/>
          <w:szCs w:val="32"/>
        </w:rPr>
        <w:sectPr>
          <w:pgSz w:w="16838" w:h="11906" w:orient="landscape"/>
          <w:pgMar w:top="1587" w:right="1440" w:bottom="1474" w:left="1440" w:header="851" w:footer="992" w:gutter="0"/>
          <w:cols w:space="425" w:num="1"/>
          <w:docGrid w:type="lines" w:linePitch="312" w:charSpace="0"/>
        </w:sectPr>
      </w:pPr>
    </w:p>
    <w:p w14:paraId="353E8370">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附件3 </w:t>
      </w:r>
    </w:p>
    <w:p w14:paraId="44853294">
      <w:pPr>
        <w:numPr>
          <w:ilvl w:val="0"/>
          <w:numId w:val="0"/>
        </w:num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荣誉增信项目评分指标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4837"/>
        <w:gridCol w:w="831"/>
        <w:gridCol w:w="3019"/>
        <w:gridCol w:w="2651"/>
      </w:tblGrid>
      <w:tr w14:paraId="100A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834" w:type="dxa"/>
            <w:vAlign w:val="center"/>
          </w:tcPr>
          <w:p w14:paraId="4953D33F">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奖项项目</w:t>
            </w:r>
          </w:p>
        </w:tc>
        <w:tc>
          <w:tcPr>
            <w:tcW w:w="4837" w:type="dxa"/>
            <w:vAlign w:val="center"/>
          </w:tcPr>
          <w:p w14:paraId="11DFA7AA">
            <w:pPr>
              <w:numPr>
                <w:ilvl w:val="0"/>
                <w:numId w:val="0"/>
              </w:num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奖项内容</w:t>
            </w:r>
          </w:p>
        </w:tc>
        <w:tc>
          <w:tcPr>
            <w:tcW w:w="831" w:type="dxa"/>
            <w:vAlign w:val="center"/>
          </w:tcPr>
          <w:p w14:paraId="78588F0D">
            <w:pPr>
              <w:numPr>
                <w:ilvl w:val="0"/>
                <w:numId w:val="0"/>
              </w:num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w:t>
            </w:r>
          </w:p>
        </w:tc>
        <w:tc>
          <w:tcPr>
            <w:tcW w:w="3019" w:type="dxa"/>
            <w:vAlign w:val="center"/>
          </w:tcPr>
          <w:p w14:paraId="759E1397">
            <w:pPr>
              <w:numPr>
                <w:ilvl w:val="0"/>
                <w:numId w:val="0"/>
              </w:num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相关部门</w:t>
            </w:r>
          </w:p>
        </w:tc>
        <w:tc>
          <w:tcPr>
            <w:tcW w:w="2651" w:type="dxa"/>
            <w:vAlign w:val="center"/>
          </w:tcPr>
          <w:p w14:paraId="135A3705">
            <w:pPr>
              <w:numPr>
                <w:ilvl w:val="0"/>
                <w:numId w:val="0"/>
              </w:num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评分规则</w:t>
            </w:r>
          </w:p>
        </w:tc>
      </w:tr>
      <w:tr w14:paraId="0466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restart"/>
            <w:vAlign w:val="center"/>
          </w:tcPr>
          <w:p w14:paraId="058C79A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政府质量奖</w:t>
            </w:r>
          </w:p>
        </w:tc>
        <w:tc>
          <w:tcPr>
            <w:tcW w:w="4837" w:type="dxa"/>
            <w:vAlign w:val="center"/>
          </w:tcPr>
          <w:p w14:paraId="6891BD13">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长江质量奖(包括正奖和提名奖）</w:t>
            </w:r>
          </w:p>
        </w:tc>
        <w:tc>
          <w:tcPr>
            <w:tcW w:w="831" w:type="dxa"/>
            <w:vAlign w:val="center"/>
          </w:tcPr>
          <w:p w14:paraId="13277CF7">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Merge w:val="restart"/>
            <w:vAlign w:val="center"/>
          </w:tcPr>
          <w:p w14:paraId="3AED2DA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省市场监管部门</w:t>
            </w:r>
          </w:p>
        </w:tc>
        <w:tc>
          <w:tcPr>
            <w:tcW w:w="2651" w:type="dxa"/>
            <w:vMerge w:val="restart"/>
            <w:vAlign w:val="center"/>
          </w:tcPr>
          <w:p w14:paraId="1E097690">
            <w:pPr>
              <w:keepNext w:val="0"/>
              <w:keepLines w:val="0"/>
              <w:pageBreakBefore w:val="0"/>
              <w:widowControl/>
              <w:suppressLineNumbers w:val="0"/>
              <w:suppressAutoHyphens/>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1.荣誉增信最高分值3分，经营主体获得多个奖项的，累积计分，最高不超过3分；</w:t>
            </w:r>
          </w:p>
          <w:p w14:paraId="5E504C79">
            <w:pPr>
              <w:keepNext w:val="0"/>
              <w:keepLines w:val="0"/>
              <w:pageBreakBefore w:val="0"/>
              <w:widowControl/>
              <w:suppressLineNumbers w:val="0"/>
              <w:suppressAutoHyphens/>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2.荣誉增信项目以部门单位提供为主，试点企业提供为辅；</w:t>
            </w:r>
          </w:p>
          <w:p w14:paraId="7318D03F">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3.企业获得的荣誉奖项发生变化的，应在1个月内向属地市场监管部门提交。</w:t>
            </w:r>
          </w:p>
        </w:tc>
      </w:tr>
      <w:tr w14:paraId="3468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continue"/>
            <w:vAlign w:val="center"/>
          </w:tcPr>
          <w:p w14:paraId="66A7777B">
            <w:pPr>
              <w:numPr>
                <w:ilvl w:val="0"/>
                <w:numId w:val="0"/>
              </w:numPr>
              <w:jc w:val="center"/>
              <w:rPr>
                <w:rFonts w:hint="eastAsia" w:ascii="仿宋" w:hAnsi="仿宋" w:eastAsia="仿宋" w:cs="仿宋"/>
                <w:sz w:val="24"/>
                <w:szCs w:val="24"/>
                <w:vertAlign w:val="baseline"/>
                <w:lang w:val="en-US" w:eastAsia="zh-CN"/>
              </w:rPr>
            </w:pPr>
          </w:p>
        </w:tc>
        <w:tc>
          <w:tcPr>
            <w:tcW w:w="4837" w:type="dxa"/>
            <w:vAlign w:val="center"/>
          </w:tcPr>
          <w:p w14:paraId="7ED8026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市级质量奖(包括正奖和提名奖）</w:t>
            </w:r>
          </w:p>
        </w:tc>
        <w:tc>
          <w:tcPr>
            <w:tcW w:w="831" w:type="dxa"/>
            <w:vAlign w:val="center"/>
          </w:tcPr>
          <w:p w14:paraId="46FD72C4">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3019" w:type="dxa"/>
            <w:vMerge w:val="continue"/>
            <w:vAlign w:val="center"/>
          </w:tcPr>
          <w:p w14:paraId="65942450">
            <w:pPr>
              <w:numPr>
                <w:ilvl w:val="0"/>
                <w:numId w:val="0"/>
              </w:numPr>
              <w:jc w:val="both"/>
              <w:rPr>
                <w:rFonts w:hint="eastAsia" w:ascii="仿宋" w:hAnsi="仿宋" w:eastAsia="仿宋" w:cs="仿宋"/>
                <w:sz w:val="24"/>
                <w:szCs w:val="24"/>
                <w:vertAlign w:val="baseline"/>
                <w:lang w:val="en-US" w:eastAsia="zh-CN"/>
              </w:rPr>
            </w:pPr>
          </w:p>
        </w:tc>
        <w:tc>
          <w:tcPr>
            <w:tcW w:w="2651" w:type="dxa"/>
            <w:vMerge w:val="continue"/>
            <w:vAlign w:val="center"/>
          </w:tcPr>
          <w:p w14:paraId="4FF00FE6">
            <w:pPr>
              <w:numPr>
                <w:ilvl w:val="0"/>
                <w:numId w:val="0"/>
              </w:numPr>
              <w:jc w:val="both"/>
              <w:rPr>
                <w:rFonts w:hint="eastAsia" w:ascii="仿宋" w:hAnsi="仿宋" w:eastAsia="仿宋" w:cs="仿宋"/>
                <w:sz w:val="24"/>
                <w:szCs w:val="24"/>
                <w:vertAlign w:val="baseline"/>
                <w:lang w:val="en-US" w:eastAsia="zh-CN"/>
              </w:rPr>
            </w:pPr>
          </w:p>
        </w:tc>
      </w:tr>
      <w:tr w14:paraId="6DBC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2E3DB1E1">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放心消费单元</w:t>
            </w:r>
          </w:p>
        </w:tc>
        <w:tc>
          <w:tcPr>
            <w:tcW w:w="4837" w:type="dxa"/>
            <w:vAlign w:val="center"/>
          </w:tcPr>
          <w:p w14:paraId="3EA259A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放心消费单元</w:t>
            </w:r>
          </w:p>
        </w:tc>
        <w:tc>
          <w:tcPr>
            <w:tcW w:w="831" w:type="dxa"/>
            <w:vAlign w:val="center"/>
          </w:tcPr>
          <w:p w14:paraId="707C5759">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1分</w:t>
            </w:r>
          </w:p>
        </w:tc>
        <w:tc>
          <w:tcPr>
            <w:tcW w:w="3019" w:type="dxa"/>
            <w:vAlign w:val="center"/>
          </w:tcPr>
          <w:p w14:paraId="25AD8FFA">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省市场监管部门</w:t>
            </w:r>
          </w:p>
        </w:tc>
        <w:tc>
          <w:tcPr>
            <w:tcW w:w="2651" w:type="dxa"/>
            <w:vMerge w:val="continue"/>
            <w:vAlign w:val="center"/>
          </w:tcPr>
          <w:p w14:paraId="74355DA1">
            <w:pPr>
              <w:numPr>
                <w:ilvl w:val="0"/>
                <w:numId w:val="0"/>
              </w:numPr>
              <w:jc w:val="both"/>
              <w:rPr>
                <w:rFonts w:hint="eastAsia" w:ascii="仿宋" w:hAnsi="仿宋" w:eastAsia="仿宋" w:cs="仿宋"/>
                <w:sz w:val="24"/>
                <w:szCs w:val="24"/>
                <w:vertAlign w:val="baseline"/>
                <w:lang w:val="en-US" w:eastAsia="zh-CN"/>
              </w:rPr>
            </w:pPr>
          </w:p>
        </w:tc>
      </w:tr>
      <w:tr w14:paraId="433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restart"/>
            <w:vAlign w:val="center"/>
          </w:tcPr>
          <w:p w14:paraId="6CBF3AA2">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守合同重信用企业</w:t>
            </w:r>
          </w:p>
        </w:tc>
        <w:tc>
          <w:tcPr>
            <w:tcW w:w="4837" w:type="dxa"/>
            <w:vAlign w:val="center"/>
          </w:tcPr>
          <w:p w14:paraId="684FB17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省级守合同重信用企业</w:t>
            </w:r>
          </w:p>
        </w:tc>
        <w:tc>
          <w:tcPr>
            <w:tcW w:w="831" w:type="dxa"/>
            <w:vAlign w:val="center"/>
          </w:tcPr>
          <w:p w14:paraId="17FF3B4F">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Merge w:val="restart"/>
            <w:vAlign w:val="center"/>
          </w:tcPr>
          <w:p w14:paraId="1E0BF45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省市场监管部门</w:t>
            </w:r>
          </w:p>
        </w:tc>
        <w:tc>
          <w:tcPr>
            <w:tcW w:w="2651" w:type="dxa"/>
            <w:vMerge w:val="continue"/>
            <w:vAlign w:val="center"/>
          </w:tcPr>
          <w:p w14:paraId="1A0BB6BA">
            <w:pPr>
              <w:numPr>
                <w:ilvl w:val="0"/>
                <w:numId w:val="0"/>
              </w:numPr>
              <w:jc w:val="both"/>
              <w:rPr>
                <w:rFonts w:hint="eastAsia" w:ascii="仿宋" w:hAnsi="仿宋" w:eastAsia="仿宋" w:cs="仿宋"/>
                <w:sz w:val="24"/>
                <w:szCs w:val="24"/>
                <w:vertAlign w:val="baseline"/>
                <w:lang w:val="en-US" w:eastAsia="zh-CN"/>
              </w:rPr>
            </w:pPr>
          </w:p>
        </w:tc>
      </w:tr>
      <w:tr w14:paraId="04F9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continue"/>
            <w:vAlign w:val="center"/>
          </w:tcPr>
          <w:p w14:paraId="6B24A142">
            <w:pPr>
              <w:numPr>
                <w:ilvl w:val="0"/>
                <w:numId w:val="0"/>
              </w:numPr>
              <w:jc w:val="center"/>
              <w:rPr>
                <w:rFonts w:hint="eastAsia" w:ascii="仿宋" w:hAnsi="仿宋" w:eastAsia="仿宋" w:cs="仿宋"/>
                <w:sz w:val="24"/>
                <w:szCs w:val="24"/>
                <w:vertAlign w:val="baseline"/>
                <w:lang w:val="en-US" w:eastAsia="zh-CN"/>
              </w:rPr>
            </w:pPr>
          </w:p>
        </w:tc>
        <w:tc>
          <w:tcPr>
            <w:tcW w:w="4837" w:type="dxa"/>
            <w:vAlign w:val="center"/>
          </w:tcPr>
          <w:p w14:paraId="1D0AFEC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市级守合同重信用企业</w:t>
            </w:r>
          </w:p>
        </w:tc>
        <w:tc>
          <w:tcPr>
            <w:tcW w:w="831" w:type="dxa"/>
            <w:vAlign w:val="center"/>
          </w:tcPr>
          <w:p w14:paraId="4E60C101">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3019" w:type="dxa"/>
            <w:vMerge w:val="continue"/>
            <w:vAlign w:val="center"/>
          </w:tcPr>
          <w:p w14:paraId="497FF652">
            <w:pPr>
              <w:numPr>
                <w:ilvl w:val="0"/>
                <w:numId w:val="0"/>
              </w:numPr>
              <w:jc w:val="both"/>
              <w:rPr>
                <w:rFonts w:hint="eastAsia" w:ascii="仿宋" w:hAnsi="仿宋" w:eastAsia="仿宋" w:cs="仿宋"/>
                <w:sz w:val="24"/>
                <w:szCs w:val="24"/>
                <w:vertAlign w:val="baseline"/>
                <w:lang w:val="en-US" w:eastAsia="zh-CN"/>
              </w:rPr>
            </w:pPr>
          </w:p>
        </w:tc>
        <w:tc>
          <w:tcPr>
            <w:tcW w:w="2651" w:type="dxa"/>
            <w:vMerge w:val="continue"/>
            <w:vAlign w:val="center"/>
          </w:tcPr>
          <w:p w14:paraId="7CE1C394">
            <w:pPr>
              <w:numPr>
                <w:ilvl w:val="0"/>
                <w:numId w:val="0"/>
              </w:numPr>
              <w:jc w:val="both"/>
              <w:rPr>
                <w:rFonts w:hint="eastAsia" w:ascii="仿宋" w:hAnsi="仿宋" w:eastAsia="仿宋" w:cs="仿宋"/>
                <w:sz w:val="24"/>
                <w:szCs w:val="24"/>
                <w:vertAlign w:val="baseline"/>
                <w:lang w:val="en-US" w:eastAsia="zh-CN"/>
              </w:rPr>
            </w:pPr>
          </w:p>
        </w:tc>
      </w:tr>
      <w:tr w14:paraId="30E8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4EA80864">
            <w:pPr>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湖北精品</w:t>
            </w:r>
          </w:p>
        </w:tc>
        <w:tc>
          <w:tcPr>
            <w:tcW w:w="4837" w:type="dxa"/>
            <w:vAlign w:val="center"/>
          </w:tcPr>
          <w:p w14:paraId="544201F1">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湖北精品</w:t>
            </w:r>
          </w:p>
        </w:tc>
        <w:tc>
          <w:tcPr>
            <w:tcW w:w="831" w:type="dxa"/>
            <w:vAlign w:val="center"/>
          </w:tcPr>
          <w:p w14:paraId="1E19A81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7B4F28CA">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省市场监管局</w:t>
            </w:r>
          </w:p>
        </w:tc>
        <w:tc>
          <w:tcPr>
            <w:tcW w:w="2651" w:type="dxa"/>
            <w:vMerge w:val="continue"/>
            <w:vAlign w:val="center"/>
          </w:tcPr>
          <w:p w14:paraId="2ADC765E">
            <w:pPr>
              <w:numPr>
                <w:ilvl w:val="0"/>
                <w:numId w:val="0"/>
              </w:numPr>
              <w:jc w:val="both"/>
              <w:rPr>
                <w:rFonts w:hint="eastAsia" w:ascii="仿宋" w:hAnsi="仿宋" w:eastAsia="仿宋" w:cs="仿宋"/>
                <w:sz w:val="24"/>
                <w:szCs w:val="24"/>
                <w:lang w:val="en-US" w:eastAsia="zh-CN"/>
              </w:rPr>
            </w:pPr>
          </w:p>
        </w:tc>
      </w:tr>
      <w:tr w14:paraId="25E3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59F32237">
            <w:pPr>
              <w:numPr>
                <w:ilvl w:val="0"/>
                <w:numId w:val="0"/>
              </w:num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荆楚放心礼</w:t>
            </w:r>
          </w:p>
        </w:tc>
        <w:tc>
          <w:tcPr>
            <w:tcW w:w="4837" w:type="dxa"/>
            <w:vAlign w:val="center"/>
          </w:tcPr>
          <w:p w14:paraId="2276C6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“荆楚放心礼”</w:t>
            </w:r>
          </w:p>
        </w:tc>
        <w:tc>
          <w:tcPr>
            <w:tcW w:w="831" w:type="dxa"/>
            <w:vAlign w:val="center"/>
          </w:tcPr>
          <w:p w14:paraId="195DA47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5DC5B3F5">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省市场监管局</w:t>
            </w:r>
          </w:p>
        </w:tc>
        <w:tc>
          <w:tcPr>
            <w:tcW w:w="2651" w:type="dxa"/>
            <w:vMerge w:val="continue"/>
            <w:vAlign w:val="center"/>
          </w:tcPr>
          <w:p w14:paraId="61D592F4">
            <w:pPr>
              <w:numPr>
                <w:ilvl w:val="0"/>
                <w:numId w:val="0"/>
              </w:numPr>
              <w:jc w:val="both"/>
              <w:rPr>
                <w:rFonts w:hint="eastAsia" w:ascii="仿宋" w:hAnsi="仿宋" w:eastAsia="仿宋" w:cs="仿宋"/>
                <w:sz w:val="24"/>
                <w:szCs w:val="24"/>
                <w:lang w:val="en-US" w:eastAsia="zh-CN"/>
              </w:rPr>
            </w:pPr>
          </w:p>
        </w:tc>
      </w:tr>
      <w:tr w14:paraId="39C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43B32D9C">
            <w:pPr>
              <w:numPr>
                <w:ilvl w:val="0"/>
                <w:numId w:val="0"/>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湖北省优势商标</w:t>
            </w:r>
          </w:p>
        </w:tc>
        <w:tc>
          <w:tcPr>
            <w:tcW w:w="4837" w:type="dxa"/>
            <w:vAlign w:val="center"/>
          </w:tcPr>
          <w:p w14:paraId="378F0B04">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湖北省优势商标</w:t>
            </w:r>
          </w:p>
        </w:tc>
        <w:tc>
          <w:tcPr>
            <w:tcW w:w="831" w:type="dxa"/>
            <w:vAlign w:val="center"/>
          </w:tcPr>
          <w:p w14:paraId="497D6EA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65D8EFC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省知识产权局</w:t>
            </w:r>
          </w:p>
        </w:tc>
        <w:tc>
          <w:tcPr>
            <w:tcW w:w="2651" w:type="dxa"/>
            <w:vMerge w:val="continue"/>
            <w:vAlign w:val="center"/>
          </w:tcPr>
          <w:p w14:paraId="3D72B6F4">
            <w:pPr>
              <w:numPr>
                <w:ilvl w:val="0"/>
                <w:numId w:val="0"/>
              </w:numPr>
              <w:jc w:val="both"/>
              <w:rPr>
                <w:rFonts w:hint="eastAsia" w:ascii="仿宋" w:hAnsi="仿宋" w:eastAsia="仿宋" w:cs="仿宋"/>
                <w:sz w:val="24"/>
                <w:szCs w:val="24"/>
                <w:vertAlign w:val="baseline"/>
                <w:lang w:val="en-US" w:eastAsia="zh-CN"/>
              </w:rPr>
            </w:pPr>
          </w:p>
        </w:tc>
      </w:tr>
      <w:tr w14:paraId="39CD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77F5F28D">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知识产权示范企业</w:t>
            </w:r>
          </w:p>
        </w:tc>
        <w:tc>
          <w:tcPr>
            <w:tcW w:w="4837" w:type="dxa"/>
            <w:vAlign w:val="center"/>
          </w:tcPr>
          <w:p w14:paraId="074BEAA9">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国家知识产权示范企业、优势企业</w:t>
            </w:r>
          </w:p>
        </w:tc>
        <w:tc>
          <w:tcPr>
            <w:tcW w:w="831" w:type="dxa"/>
            <w:vAlign w:val="center"/>
          </w:tcPr>
          <w:p w14:paraId="0D08B09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07BFCD5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国家知识产权局</w:t>
            </w:r>
          </w:p>
        </w:tc>
        <w:tc>
          <w:tcPr>
            <w:tcW w:w="2651" w:type="dxa"/>
            <w:vMerge w:val="continue"/>
            <w:vAlign w:val="center"/>
          </w:tcPr>
          <w:p w14:paraId="59F93E40">
            <w:pPr>
              <w:numPr>
                <w:ilvl w:val="0"/>
                <w:numId w:val="0"/>
              </w:numPr>
              <w:jc w:val="both"/>
              <w:rPr>
                <w:rFonts w:hint="eastAsia" w:ascii="仿宋" w:hAnsi="仿宋" w:eastAsia="仿宋" w:cs="仿宋"/>
                <w:sz w:val="24"/>
                <w:szCs w:val="24"/>
                <w:lang w:val="en-US" w:eastAsia="zh-CN"/>
              </w:rPr>
            </w:pPr>
          </w:p>
        </w:tc>
      </w:tr>
      <w:tr w14:paraId="18E6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5817425A">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创新型中小企业</w:t>
            </w:r>
          </w:p>
        </w:tc>
        <w:tc>
          <w:tcPr>
            <w:tcW w:w="4837" w:type="dxa"/>
            <w:vAlign w:val="center"/>
          </w:tcPr>
          <w:p w14:paraId="45AD7B25">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创新型中小企业</w:t>
            </w:r>
          </w:p>
        </w:tc>
        <w:tc>
          <w:tcPr>
            <w:tcW w:w="831" w:type="dxa"/>
            <w:vAlign w:val="center"/>
          </w:tcPr>
          <w:p w14:paraId="70E570F1">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7320043B">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省经信厅</w:t>
            </w:r>
          </w:p>
        </w:tc>
        <w:tc>
          <w:tcPr>
            <w:tcW w:w="2651" w:type="dxa"/>
            <w:vMerge w:val="continue"/>
            <w:vAlign w:val="center"/>
          </w:tcPr>
          <w:p w14:paraId="02F76551">
            <w:pPr>
              <w:numPr>
                <w:ilvl w:val="0"/>
                <w:numId w:val="0"/>
              </w:numPr>
              <w:jc w:val="both"/>
              <w:rPr>
                <w:rFonts w:hint="eastAsia" w:ascii="仿宋" w:hAnsi="仿宋" w:eastAsia="仿宋" w:cs="仿宋"/>
                <w:sz w:val="24"/>
                <w:szCs w:val="24"/>
                <w:vertAlign w:val="baseline"/>
                <w:lang w:val="en-US" w:eastAsia="zh-CN"/>
              </w:rPr>
            </w:pPr>
          </w:p>
        </w:tc>
      </w:tr>
      <w:tr w14:paraId="1D3B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4740592A">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科技型中小企业</w:t>
            </w:r>
          </w:p>
        </w:tc>
        <w:tc>
          <w:tcPr>
            <w:tcW w:w="4837" w:type="dxa"/>
            <w:vAlign w:val="center"/>
          </w:tcPr>
          <w:p w14:paraId="449D3DFF">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科技型中小企业</w:t>
            </w:r>
          </w:p>
        </w:tc>
        <w:tc>
          <w:tcPr>
            <w:tcW w:w="831" w:type="dxa"/>
            <w:vAlign w:val="center"/>
          </w:tcPr>
          <w:p w14:paraId="6EC2CFF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55AB29C2">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省科技厅</w:t>
            </w:r>
          </w:p>
        </w:tc>
        <w:tc>
          <w:tcPr>
            <w:tcW w:w="2651" w:type="dxa"/>
            <w:vMerge w:val="continue"/>
            <w:vAlign w:val="center"/>
          </w:tcPr>
          <w:p w14:paraId="1A913B0F">
            <w:pPr>
              <w:numPr>
                <w:ilvl w:val="0"/>
                <w:numId w:val="0"/>
              </w:numPr>
              <w:jc w:val="both"/>
              <w:rPr>
                <w:rFonts w:hint="eastAsia" w:ascii="仿宋" w:hAnsi="仿宋" w:eastAsia="仿宋" w:cs="仿宋"/>
                <w:sz w:val="24"/>
                <w:szCs w:val="24"/>
                <w:lang w:val="en-US" w:eastAsia="zh-CN"/>
              </w:rPr>
            </w:pPr>
          </w:p>
        </w:tc>
      </w:tr>
      <w:tr w14:paraId="2209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restart"/>
            <w:vAlign w:val="center"/>
          </w:tcPr>
          <w:p w14:paraId="1C9C96D4">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专精特新中小企业</w:t>
            </w:r>
          </w:p>
        </w:tc>
        <w:tc>
          <w:tcPr>
            <w:tcW w:w="4837" w:type="dxa"/>
            <w:vAlign w:val="center"/>
          </w:tcPr>
          <w:p w14:paraId="10BBAF44">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专精特新“小巨人”企业</w:t>
            </w:r>
          </w:p>
        </w:tc>
        <w:tc>
          <w:tcPr>
            <w:tcW w:w="831" w:type="dxa"/>
            <w:vAlign w:val="center"/>
          </w:tcPr>
          <w:p w14:paraId="6F8C0B61">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Merge w:val="restart"/>
            <w:vAlign w:val="center"/>
          </w:tcPr>
          <w:p w14:paraId="421368D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省经信厅</w:t>
            </w:r>
          </w:p>
        </w:tc>
        <w:tc>
          <w:tcPr>
            <w:tcW w:w="2651" w:type="dxa"/>
            <w:vMerge w:val="continue"/>
            <w:vAlign w:val="center"/>
          </w:tcPr>
          <w:p w14:paraId="019AE4AC">
            <w:pPr>
              <w:numPr>
                <w:ilvl w:val="0"/>
                <w:numId w:val="0"/>
              </w:numPr>
              <w:jc w:val="both"/>
              <w:rPr>
                <w:rFonts w:hint="eastAsia" w:ascii="仿宋" w:hAnsi="仿宋" w:eastAsia="仿宋" w:cs="仿宋"/>
                <w:sz w:val="24"/>
                <w:szCs w:val="24"/>
                <w:lang w:val="en-US" w:eastAsia="zh-CN"/>
              </w:rPr>
            </w:pPr>
          </w:p>
        </w:tc>
      </w:tr>
      <w:tr w14:paraId="5B8C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continue"/>
            <w:vAlign w:val="center"/>
          </w:tcPr>
          <w:p w14:paraId="3A3CE0AF">
            <w:pPr>
              <w:numPr>
                <w:ilvl w:val="0"/>
                <w:numId w:val="0"/>
              </w:numPr>
              <w:jc w:val="center"/>
              <w:rPr>
                <w:rFonts w:hint="eastAsia" w:ascii="仿宋" w:hAnsi="仿宋" w:eastAsia="仿宋" w:cs="仿宋"/>
                <w:sz w:val="24"/>
                <w:szCs w:val="24"/>
                <w:lang w:val="en-US" w:eastAsia="zh-CN"/>
              </w:rPr>
            </w:pPr>
          </w:p>
        </w:tc>
        <w:tc>
          <w:tcPr>
            <w:tcW w:w="4837" w:type="dxa"/>
            <w:vAlign w:val="center"/>
          </w:tcPr>
          <w:p w14:paraId="6D141B4E">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专精特新中小企业</w:t>
            </w:r>
          </w:p>
        </w:tc>
        <w:tc>
          <w:tcPr>
            <w:tcW w:w="831" w:type="dxa"/>
            <w:vAlign w:val="center"/>
          </w:tcPr>
          <w:p w14:paraId="79B62FEC">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3019" w:type="dxa"/>
            <w:vMerge w:val="continue"/>
            <w:vAlign w:val="center"/>
          </w:tcPr>
          <w:p w14:paraId="76FC40C2">
            <w:pPr>
              <w:numPr>
                <w:ilvl w:val="0"/>
                <w:numId w:val="0"/>
              </w:numPr>
              <w:jc w:val="both"/>
              <w:rPr>
                <w:rFonts w:hint="eastAsia" w:ascii="仿宋" w:hAnsi="仿宋" w:eastAsia="仿宋" w:cs="仿宋"/>
                <w:sz w:val="24"/>
                <w:szCs w:val="24"/>
                <w:vertAlign w:val="baseline"/>
                <w:lang w:val="en-US" w:eastAsia="zh-CN"/>
              </w:rPr>
            </w:pPr>
          </w:p>
        </w:tc>
        <w:tc>
          <w:tcPr>
            <w:tcW w:w="2651" w:type="dxa"/>
            <w:vMerge w:val="continue"/>
            <w:vAlign w:val="center"/>
          </w:tcPr>
          <w:p w14:paraId="4EEB7DCA">
            <w:pPr>
              <w:numPr>
                <w:ilvl w:val="0"/>
                <w:numId w:val="0"/>
              </w:numPr>
              <w:jc w:val="both"/>
              <w:rPr>
                <w:rFonts w:hint="eastAsia" w:ascii="仿宋" w:hAnsi="仿宋" w:eastAsia="仿宋" w:cs="仿宋"/>
                <w:sz w:val="24"/>
                <w:szCs w:val="24"/>
                <w:vertAlign w:val="baseline"/>
                <w:lang w:val="en-US" w:eastAsia="zh-CN"/>
              </w:rPr>
            </w:pPr>
          </w:p>
        </w:tc>
      </w:tr>
      <w:tr w14:paraId="4656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Align w:val="center"/>
          </w:tcPr>
          <w:p w14:paraId="69E95DB4">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中华老字号</w:t>
            </w:r>
          </w:p>
        </w:tc>
        <w:tc>
          <w:tcPr>
            <w:tcW w:w="4837" w:type="dxa"/>
            <w:vAlign w:val="center"/>
          </w:tcPr>
          <w:p w14:paraId="1AADFA0A">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中华老字号</w:t>
            </w:r>
          </w:p>
        </w:tc>
        <w:tc>
          <w:tcPr>
            <w:tcW w:w="831" w:type="dxa"/>
            <w:vAlign w:val="center"/>
          </w:tcPr>
          <w:p w14:paraId="3BADECB5">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Align w:val="center"/>
          </w:tcPr>
          <w:p w14:paraId="5ED2902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商务部</w:t>
            </w:r>
          </w:p>
        </w:tc>
        <w:tc>
          <w:tcPr>
            <w:tcW w:w="2651" w:type="dxa"/>
            <w:vMerge w:val="continue"/>
            <w:vAlign w:val="center"/>
          </w:tcPr>
          <w:p w14:paraId="4AEEE219">
            <w:pPr>
              <w:numPr>
                <w:ilvl w:val="0"/>
                <w:numId w:val="0"/>
              </w:numPr>
              <w:jc w:val="both"/>
              <w:rPr>
                <w:rFonts w:hint="eastAsia" w:ascii="仿宋" w:hAnsi="仿宋" w:eastAsia="仿宋" w:cs="仿宋"/>
                <w:sz w:val="24"/>
                <w:szCs w:val="24"/>
                <w:lang w:val="en-US" w:eastAsia="zh-CN"/>
              </w:rPr>
            </w:pPr>
          </w:p>
        </w:tc>
      </w:tr>
      <w:tr w14:paraId="07F7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restart"/>
            <w:vAlign w:val="center"/>
          </w:tcPr>
          <w:p w14:paraId="231B2539">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其他奖励</w:t>
            </w:r>
          </w:p>
        </w:tc>
        <w:tc>
          <w:tcPr>
            <w:tcW w:w="4837" w:type="dxa"/>
            <w:vAlign w:val="center"/>
          </w:tcPr>
          <w:p w14:paraId="5C376E92">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省级</w:t>
            </w:r>
          </w:p>
        </w:tc>
        <w:tc>
          <w:tcPr>
            <w:tcW w:w="831" w:type="dxa"/>
            <w:vAlign w:val="center"/>
          </w:tcPr>
          <w:p w14:paraId="3AA95CF4">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3分</w:t>
            </w:r>
          </w:p>
        </w:tc>
        <w:tc>
          <w:tcPr>
            <w:tcW w:w="3019" w:type="dxa"/>
            <w:vMerge w:val="restart"/>
            <w:vAlign w:val="center"/>
          </w:tcPr>
          <w:p w14:paraId="2FF053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党委、政府部门开展的面向经营主体知名度高、影响较大的其他表彰、奖励项目</w:t>
            </w:r>
          </w:p>
        </w:tc>
        <w:tc>
          <w:tcPr>
            <w:tcW w:w="2651" w:type="dxa"/>
            <w:vMerge w:val="continue"/>
            <w:vAlign w:val="center"/>
          </w:tcPr>
          <w:p w14:paraId="074BD0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lang w:val="en-US" w:eastAsia="zh-CN"/>
              </w:rPr>
            </w:pPr>
          </w:p>
        </w:tc>
      </w:tr>
      <w:tr w14:paraId="0C8F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continue"/>
            <w:vAlign w:val="center"/>
          </w:tcPr>
          <w:p w14:paraId="139F4D96">
            <w:pPr>
              <w:numPr>
                <w:ilvl w:val="0"/>
                <w:numId w:val="0"/>
              </w:numPr>
              <w:jc w:val="center"/>
              <w:rPr>
                <w:rFonts w:hint="eastAsia" w:ascii="仿宋_GB2312" w:hAnsi="仿宋_GB2312" w:eastAsia="仿宋_GB2312" w:cs="仿宋_GB2312"/>
                <w:sz w:val="32"/>
                <w:szCs w:val="32"/>
                <w:lang w:val="en-US" w:eastAsia="zh-CN"/>
              </w:rPr>
            </w:pPr>
          </w:p>
        </w:tc>
        <w:tc>
          <w:tcPr>
            <w:tcW w:w="4837" w:type="dxa"/>
            <w:vAlign w:val="center"/>
          </w:tcPr>
          <w:p w14:paraId="7FCA2AB6">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市级</w:t>
            </w:r>
          </w:p>
        </w:tc>
        <w:tc>
          <w:tcPr>
            <w:tcW w:w="831" w:type="dxa"/>
            <w:vAlign w:val="center"/>
          </w:tcPr>
          <w:p w14:paraId="176AB749">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3019" w:type="dxa"/>
            <w:vMerge w:val="continue"/>
            <w:vAlign w:val="center"/>
          </w:tcPr>
          <w:p w14:paraId="733AE813">
            <w:pPr>
              <w:numPr>
                <w:ilvl w:val="0"/>
                <w:numId w:val="0"/>
              </w:numPr>
              <w:jc w:val="both"/>
              <w:rPr>
                <w:rFonts w:hint="default" w:ascii="仿宋_GB2312" w:hAnsi="仿宋_GB2312" w:eastAsia="仿宋_GB2312" w:cs="仿宋_GB2312"/>
                <w:sz w:val="32"/>
                <w:szCs w:val="32"/>
                <w:vertAlign w:val="baseline"/>
                <w:lang w:val="en-US" w:eastAsia="zh-CN"/>
              </w:rPr>
            </w:pPr>
          </w:p>
        </w:tc>
        <w:tc>
          <w:tcPr>
            <w:tcW w:w="2651" w:type="dxa"/>
            <w:vMerge w:val="continue"/>
            <w:vAlign w:val="center"/>
          </w:tcPr>
          <w:p w14:paraId="42C7C800">
            <w:pPr>
              <w:numPr>
                <w:ilvl w:val="0"/>
                <w:numId w:val="0"/>
              </w:numPr>
              <w:jc w:val="both"/>
              <w:rPr>
                <w:rFonts w:hint="default" w:ascii="仿宋_GB2312" w:hAnsi="仿宋_GB2312" w:eastAsia="仿宋_GB2312" w:cs="仿宋_GB2312"/>
                <w:sz w:val="32"/>
                <w:szCs w:val="32"/>
                <w:vertAlign w:val="baseline"/>
                <w:lang w:val="en-US" w:eastAsia="zh-CN"/>
              </w:rPr>
            </w:pPr>
          </w:p>
        </w:tc>
      </w:tr>
      <w:tr w14:paraId="622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34" w:type="dxa"/>
            <w:vMerge w:val="continue"/>
            <w:vAlign w:val="center"/>
          </w:tcPr>
          <w:p w14:paraId="36DC87EB">
            <w:pPr>
              <w:numPr>
                <w:ilvl w:val="0"/>
                <w:numId w:val="0"/>
              </w:numPr>
              <w:jc w:val="center"/>
              <w:rPr>
                <w:rFonts w:hint="eastAsia" w:ascii="仿宋_GB2312" w:hAnsi="仿宋_GB2312" w:eastAsia="仿宋_GB2312" w:cs="仿宋_GB2312"/>
                <w:sz w:val="32"/>
                <w:szCs w:val="32"/>
                <w:lang w:val="en-US" w:eastAsia="zh-CN"/>
              </w:rPr>
            </w:pPr>
          </w:p>
        </w:tc>
        <w:tc>
          <w:tcPr>
            <w:tcW w:w="4837" w:type="dxa"/>
            <w:vAlign w:val="center"/>
          </w:tcPr>
          <w:p w14:paraId="4EB2BEFC">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县级</w:t>
            </w:r>
          </w:p>
        </w:tc>
        <w:tc>
          <w:tcPr>
            <w:tcW w:w="831" w:type="dxa"/>
            <w:vAlign w:val="center"/>
          </w:tcPr>
          <w:p w14:paraId="068119BC">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1分</w:t>
            </w:r>
          </w:p>
        </w:tc>
        <w:tc>
          <w:tcPr>
            <w:tcW w:w="3019" w:type="dxa"/>
            <w:vMerge w:val="continue"/>
            <w:vAlign w:val="center"/>
          </w:tcPr>
          <w:p w14:paraId="0CA2FB5A">
            <w:pPr>
              <w:numPr>
                <w:ilvl w:val="0"/>
                <w:numId w:val="0"/>
              </w:numPr>
              <w:jc w:val="both"/>
              <w:rPr>
                <w:rFonts w:hint="default" w:ascii="仿宋_GB2312" w:hAnsi="仿宋_GB2312" w:eastAsia="仿宋_GB2312" w:cs="仿宋_GB2312"/>
                <w:sz w:val="32"/>
                <w:szCs w:val="32"/>
                <w:vertAlign w:val="baseline"/>
                <w:lang w:val="en-US" w:eastAsia="zh-CN"/>
              </w:rPr>
            </w:pPr>
          </w:p>
        </w:tc>
        <w:tc>
          <w:tcPr>
            <w:tcW w:w="2651" w:type="dxa"/>
            <w:vMerge w:val="continue"/>
            <w:vAlign w:val="center"/>
          </w:tcPr>
          <w:p w14:paraId="580A1A84">
            <w:pPr>
              <w:numPr>
                <w:ilvl w:val="0"/>
                <w:numId w:val="0"/>
              </w:numPr>
              <w:jc w:val="both"/>
              <w:rPr>
                <w:rFonts w:hint="default" w:ascii="仿宋_GB2312" w:hAnsi="仿宋_GB2312" w:eastAsia="仿宋_GB2312" w:cs="仿宋_GB2312"/>
                <w:sz w:val="32"/>
                <w:szCs w:val="32"/>
                <w:vertAlign w:val="baseline"/>
                <w:lang w:val="en-US" w:eastAsia="zh-CN"/>
              </w:rPr>
            </w:pPr>
          </w:p>
        </w:tc>
      </w:tr>
    </w:tbl>
    <w:p w14:paraId="1A700B1C">
      <w:pPr>
        <w:numPr>
          <w:ilvl w:val="0"/>
          <w:numId w:val="0"/>
        </w:numPr>
        <w:jc w:val="left"/>
        <w:rPr>
          <w:rFonts w:hint="default" w:ascii="仿宋_GB2312" w:hAnsi="仿宋_GB2312" w:eastAsia="仿宋_GB2312" w:cs="仿宋_GB2312"/>
          <w:sz w:val="32"/>
          <w:szCs w:val="32"/>
          <w:lang w:val="en-US" w:eastAsia="zh-CN"/>
        </w:rPr>
      </w:pPr>
    </w:p>
    <w:sectPr>
      <w:pgSz w:w="16838" w:h="11906" w:orient="landscape"/>
      <w:pgMar w:top="1587"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50AE"/>
    <w:rsid w:val="01714469"/>
    <w:rsid w:val="039D18E6"/>
    <w:rsid w:val="054162A1"/>
    <w:rsid w:val="094840A2"/>
    <w:rsid w:val="0B6215DB"/>
    <w:rsid w:val="0E1C3D4F"/>
    <w:rsid w:val="0E387B69"/>
    <w:rsid w:val="0EE24651"/>
    <w:rsid w:val="0FBA381F"/>
    <w:rsid w:val="0FE7013A"/>
    <w:rsid w:val="10BC7123"/>
    <w:rsid w:val="158A3C94"/>
    <w:rsid w:val="161517B0"/>
    <w:rsid w:val="164125A5"/>
    <w:rsid w:val="16BF3921"/>
    <w:rsid w:val="180C6BE2"/>
    <w:rsid w:val="19B60BB4"/>
    <w:rsid w:val="1C1263D3"/>
    <w:rsid w:val="22AA7723"/>
    <w:rsid w:val="24F44C86"/>
    <w:rsid w:val="251519E5"/>
    <w:rsid w:val="25826E47"/>
    <w:rsid w:val="25850181"/>
    <w:rsid w:val="26FF59EF"/>
    <w:rsid w:val="272D447F"/>
    <w:rsid w:val="290851A4"/>
    <w:rsid w:val="2A5C7555"/>
    <w:rsid w:val="2B4D50E5"/>
    <w:rsid w:val="2C2440A3"/>
    <w:rsid w:val="2CE130DC"/>
    <w:rsid w:val="2D0F422F"/>
    <w:rsid w:val="2E5A5DFA"/>
    <w:rsid w:val="2E69144B"/>
    <w:rsid w:val="2FEF1C55"/>
    <w:rsid w:val="30CF1A67"/>
    <w:rsid w:val="30D43636"/>
    <w:rsid w:val="33E06082"/>
    <w:rsid w:val="354237EC"/>
    <w:rsid w:val="3C502C92"/>
    <w:rsid w:val="3D4C16AB"/>
    <w:rsid w:val="3EDB179C"/>
    <w:rsid w:val="4253528A"/>
    <w:rsid w:val="43395821"/>
    <w:rsid w:val="477C6AB3"/>
    <w:rsid w:val="494171B6"/>
    <w:rsid w:val="4A845C50"/>
    <w:rsid w:val="4AF173EE"/>
    <w:rsid w:val="4B080428"/>
    <w:rsid w:val="4FDD40CD"/>
    <w:rsid w:val="504D7564"/>
    <w:rsid w:val="51B04FDC"/>
    <w:rsid w:val="525E297F"/>
    <w:rsid w:val="52B15DE1"/>
    <w:rsid w:val="53642E53"/>
    <w:rsid w:val="53AE2320"/>
    <w:rsid w:val="54C41FF3"/>
    <w:rsid w:val="5746222F"/>
    <w:rsid w:val="57467DC2"/>
    <w:rsid w:val="574C432A"/>
    <w:rsid w:val="58FC3B2E"/>
    <w:rsid w:val="59D800F7"/>
    <w:rsid w:val="5B0B62AA"/>
    <w:rsid w:val="5BE014E5"/>
    <w:rsid w:val="5C7907C5"/>
    <w:rsid w:val="5CF039A9"/>
    <w:rsid w:val="60EB4BB4"/>
    <w:rsid w:val="61691F7C"/>
    <w:rsid w:val="62C23835"/>
    <w:rsid w:val="62D96C8E"/>
    <w:rsid w:val="633E5693"/>
    <w:rsid w:val="665C60D1"/>
    <w:rsid w:val="67CC6DC1"/>
    <w:rsid w:val="695928D6"/>
    <w:rsid w:val="6C675502"/>
    <w:rsid w:val="6EA840E4"/>
    <w:rsid w:val="6F0F5FEB"/>
    <w:rsid w:val="6F7E3097"/>
    <w:rsid w:val="70657DB3"/>
    <w:rsid w:val="707C2865"/>
    <w:rsid w:val="74B66869"/>
    <w:rsid w:val="74C00174"/>
    <w:rsid w:val="788334CC"/>
    <w:rsid w:val="7A3A405E"/>
    <w:rsid w:val="7A990D85"/>
    <w:rsid w:val="7BE74B3D"/>
    <w:rsid w:val="7DD31FFC"/>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eastAsia" w:ascii="楷体" w:hAnsi="楷体" w:eastAsia="楷体" w:cs="楷体"/>
      <w:color w:val="000000"/>
      <w:sz w:val="22"/>
      <w:szCs w:val="22"/>
      <w:u w:val="none"/>
    </w:rPr>
  </w:style>
  <w:style w:type="character" w:customStyle="1" w:styleId="7">
    <w:name w:val="font41"/>
    <w:basedOn w:val="5"/>
    <w:qFormat/>
    <w:uiPriority w:val="0"/>
    <w:rPr>
      <w:rFonts w:hint="eastAsia" w:ascii="楷体" w:hAnsi="楷体" w:eastAsia="楷体" w:cs="楷体"/>
      <w:color w:val="FF0000"/>
      <w:sz w:val="22"/>
      <w:szCs w:val="22"/>
      <w:u w:val="none"/>
    </w:rPr>
  </w:style>
  <w:style w:type="character" w:customStyle="1" w:styleId="8">
    <w:name w:val="font5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2136</Words>
  <Characters>2154</Characters>
  <Lines>0</Lines>
  <Paragraphs>0</Paragraphs>
  <TotalTime>1345</TotalTime>
  <ScaleCrop>false</ScaleCrop>
  <LinksUpToDate>false</LinksUpToDate>
  <CharactersWithSpaces>2184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2026-05-20T07:41:00Z</dcterms:created>
  <dc:creator>诗眼倦天涯</dc:creator>
  <cp:lastModifiedBy>李成</cp:lastModifiedBy>
  <cp:lastPrinted>2026-06-03T08:40:00Z</cp:lastPrinted>
  <dcterms:modified xsi:type="dcterms:W3CDTF">2026-06-05T09:49:29Z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F6D391C66C6E4C7A9B990709886C5F34_13</vt:lpwstr>
  </property>
  <property fmtid="{D5CDD505-2E9C-101B-9397-08002B2CF9AE}" pid="4" name="KSOTemplateDocerSaveRecord">
    <vt:lpwstr>eyJoZGlkIjoiNTYyM2JhZWMzZWUxNDZmYjM1MzY0M2M5YWQ2NTEyZWMiLCJ1c2VySWQiOiIyMzY2OTg3OTIifQ==</vt:lpwstr>
  </property>
</Properties>
</file>