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DE702">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left="0" w:right="0"/>
        <w:textAlignment w:val="auto"/>
        <w:rPr>
          <w:rFonts w:hint="eastAsia" w:eastAsia="黑体"/>
          <w:sz w:val="32"/>
          <w:szCs w:val="32"/>
          <w:lang w:eastAsia="zh-CN"/>
        </w:rPr>
      </w:pPr>
      <w:bookmarkStart w:id="0" w:name="_Hlk60834345"/>
      <w:bookmarkEnd w:id="0"/>
      <w:r>
        <w:rPr>
          <w:rFonts w:hint="eastAsia" w:ascii="黑体" w:eastAsia="黑体" w:cs="黑体"/>
          <w:sz w:val="32"/>
          <w:szCs w:val="32"/>
        </w:rPr>
        <w:t>附件</w:t>
      </w:r>
      <w:r>
        <w:rPr>
          <w:rFonts w:hint="eastAsia" w:ascii="黑体" w:eastAsia="黑体" w:cs="黑体"/>
          <w:sz w:val="32"/>
          <w:szCs w:val="32"/>
          <w:lang w:val="en-US" w:eastAsia="zh-CN"/>
        </w:rPr>
        <w:t>5</w:t>
      </w:r>
    </w:p>
    <w:p w14:paraId="1AD19AA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jc w:val="center"/>
        <w:textAlignment w:val="auto"/>
        <w:rPr>
          <w:spacing w:val="-6"/>
          <w:sz w:val="36"/>
          <w:szCs w:val="36"/>
        </w:rPr>
      </w:pPr>
      <w:bookmarkStart w:id="2" w:name="_GoBack"/>
      <w:r>
        <w:rPr>
          <w:rFonts w:hint="eastAsia" w:ascii="Arial Unicode MS" w:eastAsia="Arial Unicode MS" w:cs="Arial Unicode MS"/>
          <w:color w:val="000000"/>
          <w:sz w:val="36"/>
          <w:szCs w:val="36"/>
        </w:rPr>
        <w:t>202</w:t>
      </w:r>
      <w:r>
        <w:rPr>
          <w:rFonts w:hint="eastAsia" w:ascii="Arial Unicode MS" w:eastAsia="Arial Unicode MS" w:cs="Arial Unicode MS"/>
          <w:color w:val="000000"/>
          <w:sz w:val="36"/>
          <w:szCs w:val="36"/>
          <w:lang w:val="en-US" w:eastAsia="zh-CN"/>
        </w:rPr>
        <w:t>4</w:t>
      </w:r>
      <w:r>
        <w:rPr>
          <w:rFonts w:hint="eastAsia" w:ascii="Arial Unicode MS" w:eastAsia="Arial Unicode MS" w:cs="Arial Unicode MS"/>
          <w:sz w:val="36"/>
          <w:szCs w:val="36"/>
        </w:rPr>
        <w:t>年度湖北省</w:t>
      </w:r>
      <w:r>
        <w:rPr>
          <w:rFonts w:hint="eastAsia" w:ascii="Arial Unicode MS" w:eastAsia="Arial Unicode MS" w:cs="Arial Unicode MS"/>
          <w:color w:val="000000"/>
          <w:spacing w:val="-6"/>
          <w:sz w:val="36"/>
          <w:szCs w:val="36"/>
        </w:rPr>
        <w:t>定向免费医学生招录</w:t>
      </w:r>
      <w:r>
        <w:rPr>
          <w:rFonts w:hint="eastAsia" w:ascii="Arial Unicode MS" w:eastAsia="Arial Unicode MS" w:cs="Arial Unicode MS"/>
          <w:spacing w:val="-6"/>
          <w:sz w:val="36"/>
          <w:szCs w:val="36"/>
        </w:rPr>
        <w:t>政策材料</w:t>
      </w:r>
    </w:p>
    <w:bookmarkEnd w:id="2"/>
    <w:p w14:paraId="08CF110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0"/>
        <w:jc w:val="both"/>
        <w:textAlignment w:val="auto"/>
        <w:rPr>
          <w:rFonts w:hint="eastAsia" w:ascii="黑体" w:eastAsia="黑体" w:cs="黑体"/>
          <w:sz w:val="32"/>
          <w:szCs w:val="32"/>
        </w:rPr>
      </w:pPr>
    </w:p>
    <w:p w14:paraId="57C5B63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sz w:val="24"/>
          <w:szCs w:val="24"/>
        </w:rPr>
      </w:pPr>
      <w:r>
        <w:rPr>
          <w:rFonts w:hint="eastAsia" w:ascii="黑体" w:eastAsia="黑体" w:cs="黑体"/>
          <w:sz w:val="32"/>
          <w:szCs w:val="32"/>
        </w:rPr>
        <w:t>一、政策依据</w:t>
      </w:r>
    </w:p>
    <w:p w14:paraId="39C5376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bookmarkStart w:id="1" w:name="_Hlk102641654"/>
      <w:bookmarkEnd w:id="1"/>
      <w:r>
        <w:rPr>
          <w:rFonts w:ascii="CESI仿宋-GB2312" w:eastAsia="CESI仿宋-GB2312" w:cs="CESI仿宋-GB2312"/>
          <w:sz w:val="32"/>
          <w:szCs w:val="32"/>
        </w:rPr>
        <w:t>1.</w:t>
      </w:r>
      <w:r>
        <w:rPr>
          <w:rFonts w:hint="eastAsia" w:ascii="CESI仿宋-GB2312" w:eastAsia="CESI仿宋-GB2312" w:cs="CESI仿宋-GB2312"/>
          <w:sz w:val="32"/>
          <w:szCs w:val="32"/>
        </w:rPr>
        <w:t>《</w:t>
      </w:r>
      <w:r>
        <w:rPr>
          <w:rFonts w:ascii="CESI仿宋-GB2312" w:eastAsia="CESI仿宋-GB2312" w:cs="CESI仿宋-GB2312"/>
          <w:sz w:val="32"/>
          <w:szCs w:val="32"/>
        </w:rPr>
        <w:t>国务院办公厅</w:t>
      </w:r>
      <w:r>
        <w:rPr>
          <w:rFonts w:hint="eastAsia" w:ascii="CESI仿宋-GB2312" w:eastAsia="CESI仿宋-GB2312" w:cs="CESI仿宋-GB2312"/>
          <w:sz w:val="32"/>
          <w:szCs w:val="32"/>
        </w:rPr>
        <w:t>关于改革完善全科医生培养与使用激励机制的意见》（国办发〔2018〕3号）</w:t>
      </w:r>
    </w:p>
    <w:p w14:paraId="7B13A0B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sz w:val="32"/>
          <w:szCs w:val="32"/>
        </w:rPr>
        <w:t>2.</w:t>
      </w:r>
      <w:r>
        <w:rPr>
          <w:rFonts w:hint="eastAsia" w:ascii="CESI仿宋-GB2312" w:eastAsia="CESI仿宋-GB2312" w:cs="CESI仿宋-GB2312"/>
          <w:sz w:val="32"/>
          <w:szCs w:val="32"/>
        </w:rPr>
        <w:t>《</w:t>
      </w:r>
      <w:r>
        <w:rPr>
          <w:rFonts w:ascii="CESI仿宋-GB2312" w:eastAsia="CESI仿宋-GB2312" w:cs="CESI仿宋-GB2312"/>
          <w:sz w:val="32"/>
          <w:szCs w:val="32"/>
        </w:rPr>
        <w:t>国务院办公厅</w:t>
      </w:r>
      <w:r>
        <w:rPr>
          <w:rFonts w:hint="eastAsia" w:ascii="CESI仿宋-GB2312" w:eastAsia="CESI仿宋-GB2312" w:cs="CESI仿宋-GB2312"/>
          <w:sz w:val="32"/>
          <w:szCs w:val="32"/>
        </w:rPr>
        <w:t>关于加快医学教育创新发展的指导意见》（国办发〔2020〕34号）</w:t>
      </w:r>
    </w:p>
    <w:p w14:paraId="23A9BF0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sz w:val="32"/>
          <w:szCs w:val="32"/>
        </w:rPr>
        <w:t>3.《教育部等6部门关于进一步做好农村订单定向医学生免费培养工作的意见》</w:t>
      </w:r>
      <w:r>
        <w:rPr>
          <w:rFonts w:hint="eastAsia" w:ascii="CESI仿宋-GB2312" w:eastAsia="CESI仿宋-GB2312" w:cs="CESI仿宋-GB2312"/>
          <w:sz w:val="32"/>
          <w:szCs w:val="32"/>
        </w:rPr>
        <w:t>（</w:t>
      </w:r>
      <w:r>
        <w:rPr>
          <w:rFonts w:ascii="CESI仿宋-GB2312" w:eastAsia="CESI仿宋-GB2312" w:cs="CESI仿宋-GB2312"/>
          <w:sz w:val="32"/>
          <w:szCs w:val="32"/>
        </w:rPr>
        <w:t>教高</w:t>
      </w:r>
      <w:r>
        <w:rPr>
          <w:rFonts w:hint="eastAsia" w:ascii="CESI仿宋-GB2312" w:eastAsia="CESI仿宋-GB2312" w:cs="CESI仿宋-GB2312"/>
          <w:sz w:val="32"/>
          <w:szCs w:val="32"/>
        </w:rPr>
        <w:t>〔20</w:t>
      </w:r>
      <w:r>
        <w:rPr>
          <w:rFonts w:ascii="CESI仿宋-GB2312" w:eastAsia="CESI仿宋-GB2312" w:cs="CESI仿宋-GB2312"/>
          <w:sz w:val="32"/>
          <w:szCs w:val="32"/>
        </w:rPr>
        <w:t>15</w:t>
      </w:r>
      <w:r>
        <w:rPr>
          <w:rFonts w:hint="eastAsia" w:ascii="CESI仿宋-GB2312" w:eastAsia="CESI仿宋-GB2312" w:cs="CESI仿宋-GB2312"/>
          <w:sz w:val="32"/>
          <w:szCs w:val="32"/>
        </w:rPr>
        <w:t>〕</w:t>
      </w:r>
      <w:r>
        <w:rPr>
          <w:rFonts w:ascii="CESI仿宋-GB2312" w:eastAsia="CESI仿宋-GB2312" w:cs="CESI仿宋-GB2312"/>
          <w:sz w:val="32"/>
          <w:szCs w:val="32"/>
        </w:rPr>
        <w:t>6</w:t>
      </w:r>
      <w:r>
        <w:rPr>
          <w:rFonts w:hint="eastAsia" w:ascii="CESI仿宋-GB2312" w:eastAsia="CESI仿宋-GB2312" w:cs="CESI仿宋-GB2312"/>
          <w:sz w:val="32"/>
          <w:szCs w:val="32"/>
        </w:rPr>
        <w:t>号）</w:t>
      </w:r>
    </w:p>
    <w:p w14:paraId="79E57BEA">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adjustRightInd/>
        <w:snapToGrid w:val="0"/>
        <w:spacing w:beforeAutospacing="0" w:afterAutospacing="0" w:line="540" w:lineRule="exact"/>
        <w:ind w:firstLine="640" w:firstLineChars="200"/>
        <w:jc w:val="both"/>
        <w:rPr>
          <w:rFonts w:ascii="CESI仿宋-GB2312" w:eastAsia="CESI仿宋-GB2312" w:cs="CESI仿宋-GB2312"/>
          <w:sz w:val="32"/>
          <w:szCs w:val="32"/>
        </w:rPr>
      </w:pPr>
      <w:r>
        <w:rPr>
          <w:rFonts w:ascii="CESI仿宋-GB2312" w:eastAsia="CESI仿宋-GB2312" w:cs="CESI仿宋-GB2312"/>
          <w:sz w:val="32"/>
          <w:szCs w:val="32"/>
        </w:rPr>
        <w:t>4.</w:t>
      </w:r>
      <w:r>
        <w:rPr>
          <w:rFonts w:hint="eastAsia" w:ascii="CESI仿宋-GB2312" w:eastAsia="CESI仿宋-GB2312" w:cs="CESI仿宋-GB2312"/>
          <w:sz w:val="32"/>
          <w:szCs w:val="32"/>
        </w:rPr>
        <w:t>国家卫</w:t>
      </w:r>
      <w:r>
        <w:rPr>
          <w:rFonts w:ascii="CESI仿宋-GB2312" w:eastAsia="CESI仿宋-GB2312" w:cs="CESI仿宋-GB2312"/>
          <w:sz w:val="32"/>
          <w:szCs w:val="32"/>
        </w:rPr>
        <w:t>生</w:t>
      </w:r>
      <w:r>
        <w:rPr>
          <w:rFonts w:hint="eastAsia" w:ascii="CESI仿宋-GB2312" w:eastAsia="CESI仿宋-GB2312" w:cs="CESI仿宋-GB2312"/>
          <w:sz w:val="32"/>
          <w:szCs w:val="32"/>
        </w:rPr>
        <w:t>健</w:t>
      </w:r>
      <w:r>
        <w:rPr>
          <w:rFonts w:ascii="CESI仿宋-GB2312" w:eastAsia="CESI仿宋-GB2312" w:cs="CESI仿宋-GB2312"/>
          <w:sz w:val="32"/>
          <w:szCs w:val="32"/>
        </w:rPr>
        <w:t>康</w:t>
      </w:r>
      <w:r>
        <w:rPr>
          <w:rFonts w:hint="eastAsia" w:ascii="CESI仿宋-GB2312" w:eastAsia="CESI仿宋-GB2312" w:cs="CESI仿宋-GB2312"/>
          <w:sz w:val="32"/>
          <w:szCs w:val="32"/>
        </w:rPr>
        <w:t>委等7部委《关于做好农村订单定向医学免费培养医学生就业安置和履约管理工作的通知》（国卫科教发〔2019〕56号）</w:t>
      </w:r>
    </w:p>
    <w:p w14:paraId="4456973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sz w:val="32"/>
          <w:szCs w:val="32"/>
        </w:rPr>
        <w:t>5.《省人民政府办公厅关于改革完善全科医生培养与使用激励机制的实施意见》</w:t>
      </w:r>
      <w:r>
        <w:rPr>
          <w:rFonts w:hint="eastAsia" w:ascii="CESI仿宋-GB2312" w:eastAsia="CESI仿宋-GB2312" w:cs="CESI仿宋-GB2312"/>
          <w:sz w:val="32"/>
          <w:szCs w:val="32"/>
        </w:rPr>
        <w:t>（鄂政办发〔20</w:t>
      </w:r>
      <w:r>
        <w:rPr>
          <w:rFonts w:ascii="CESI仿宋-GB2312" w:eastAsia="CESI仿宋-GB2312" w:cs="CESI仿宋-GB2312"/>
          <w:sz w:val="32"/>
          <w:szCs w:val="32"/>
        </w:rPr>
        <w:t>18</w:t>
      </w:r>
      <w:r>
        <w:rPr>
          <w:rFonts w:hint="eastAsia" w:ascii="CESI仿宋-GB2312" w:eastAsia="CESI仿宋-GB2312" w:cs="CESI仿宋-GB2312"/>
          <w:sz w:val="32"/>
          <w:szCs w:val="32"/>
        </w:rPr>
        <w:t>〕</w:t>
      </w:r>
      <w:r>
        <w:rPr>
          <w:rFonts w:ascii="CESI仿宋-GB2312" w:eastAsia="CESI仿宋-GB2312" w:cs="CESI仿宋-GB2312"/>
          <w:sz w:val="32"/>
          <w:szCs w:val="32"/>
        </w:rPr>
        <w:t>25</w:t>
      </w:r>
      <w:r>
        <w:rPr>
          <w:rFonts w:hint="eastAsia" w:ascii="CESI仿宋-GB2312" w:eastAsia="CESI仿宋-GB2312" w:cs="CESI仿宋-GB2312"/>
          <w:sz w:val="32"/>
          <w:szCs w:val="32"/>
        </w:rPr>
        <w:t>号）</w:t>
      </w:r>
    </w:p>
    <w:p w14:paraId="323CDC7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sz w:val="32"/>
          <w:szCs w:val="32"/>
        </w:rPr>
        <w:t>6.</w:t>
      </w:r>
      <w:r>
        <w:rPr>
          <w:rFonts w:hint="eastAsia" w:ascii="CESI仿宋-GB2312" w:eastAsia="CESI仿宋-GB2312" w:cs="CESI仿宋-GB2312"/>
          <w:sz w:val="32"/>
          <w:szCs w:val="32"/>
        </w:rPr>
        <w:t>《省人民政府办公厅关于印发加快全省医学教育创新发展实施方案的通知》（鄂政办发〔2021〕2号）</w:t>
      </w:r>
    </w:p>
    <w:p w14:paraId="1086BFD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color w:val="000000"/>
          <w:sz w:val="32"/>
          <w:szCs w:val="32"/>
        </w:rPr>
        <w:t>7.</w:t>
      </w:r>
      <w:r>
        <w:rPr>
          <w:rFonts w:hint="eastAsia" w:ascii="CESI仿宋-GB2312" w:eastAsia="CESI仿宋-GB2312" w:cs="CESI仿宋-GB2312"/>
          <w:color w:val="000000"/>
          <w:sz w:val="32"/>
          <w:szCs w:val="32"/>
        </w:rPr>
        <w:t>省卫</w:t>
      </w:r>
      <w:r>
        <w:rPr>
          <w:rFonts w:ascii="CESI仿宋-GB2312" w:eastAsia="CESI仿宋-GB2312" w:cs="CESI仿宋-GB2312"/>
          <w:color w:val="000000"/>
          <w:sz w:val="32"/>
          <w:szCs w:val="32"/>
        </w:rPr>
        <w:t>生</w:t>
      </w:r>
      <w:r>
        <w:rPr>
          <w:rFonts w:hint="eastAsia" w:ascii="CESI仿宋-GB2312" w:eastAsia="CESI仿宋-GB2312" w:cs="CESI仿宋-GB2312"/>
          <w:color w:val="000000"/>
          <w:sz w:val="32"/>
          <w:szCs w:val="32"/>
        </w:rPr>
        <w:t>健</w:t>
      </w:r>
      <w:r>
        <w:rPr>
          <w:rFonts w:ascii="CESI仿宋-GB2312" w:eastAsia="CESI仿宋-GB2312" w:cs="CESI仿宋-GB2312"/>
          <w:color w:val="000000"/>
          <w:sz w:val="32"/>
          <w:szCs w:val="32"/>
        </w:rPr>
        <w:t>康</w:t>
      </w:r>
      <w:r>
        <w:rPr>
          <w:rFonts w:hint="eastAsia" w:ascii="CESI仿宋-GB2312" w:eastAsia="CESI仿宋-GB2312" w:cs="CESI仿宋-GB2312"/>
          <w:color w:val="000000"/>
          <w:sz w:val="32"/>
          <w:szCs w:val="32"/>
        </w:rPr>
        <w:t>委</w:t>
      </w:r>
      <w:r>
        <w:rPr>
          <w:rFonts w:ascii="CESI仿宋-GB2312" w:eastAsia="CESI仿宋-GB2312" w:cs="CESI仿宋-GB2312"/>
          <w:color w:val="000000"/>
          <w:sz w:val="32"/>
          <w:szCs w:val="32"/>
        </w:rPr>
        <w:t>等6部门</w:t>
      </w:r>
      <w:r>
        <w:rPr>
          <w:rFonts w:hint="eastAsia" w:ascii="CESI仿宋-GB2312" w:eastAsia="CESI仿宋-GB2312" w:cs="CESI仿宋-GB2312"/>
          <w:color w:val="000000"/>
          <w:sz w:val="32"/>
          <w:szCs w:val="32"/>
        </w:rPr>
        <w:t>《关于统筹做好农村订单定向免费医学生培养工作的通知》（鄂卫通〔</w:t>
      </w:r>
      <w:r>
        <w:rPr>
          <w:rFonts w:hint="eastAsia" w:ascii="CESI仿宋-GB2312" w:eastAsia="CESI仿宋-GB2312" w:cs="CESI仿宋-GB2312"/>
          <w:sz w:val="32"/>
          <w:szCs w:val="32"/>
        </w:rPr>
        <w:t>2020〕25号）</w:t>
      </w:r>
    </w:p>
    <w:p w14:paraId="38D0D90C">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right="0" w:firstLine="640" w:firstLineChars="200"/>
        <w:jc w:val="both"/>
        <w:textAlignment w:val="auto"/>
        <w:rPr>
          <w:rFonts w:ascii="CESI仿宋-GB2312" w:eastAsia="CESI仿宋-GB2312" w:cs="CESI仿宋-GB2312"/>
          <w:sz w:val="32"/>
          <w:szCs w:val="32"/>
        </w:rPr>
      </w:pPr>
      <w:r>
        <w:rPr>
          <w:rFonts w:ascii="CESI仿宋-GB2312" w:eastAsia="CESI仿宋-GB2312" w:cs="CESI仿宋-GB2312"/>
          <w:sz w:val="32"/>
          <w:szCs w:val="32"/>
        </w:rPr>
        <w:t>8.省卫生健康委</w:t>
      </w:r>
      <w:r>
        <w:rPr>
          <w:rFonts w:hint="eastAsia" w:ascii="CESI仿宋-GB2312" w:eastAsia="CESI仿宋-GB2312" w:cs="CESI仿宋-GB2312"/>
          <w:sz w:val="32"/>
          <w:szCs w:val="32"/>
        </w:rPr>
        <w:t>《关于加强和规范湖北省农村订单定向免费医学生履约过程管理的通知》（鄂卫通〔2021〕10号）</w:t>
      </w:r>
    </w:p>
    <w:p w14:paraId="0416E93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sz w:val="32"/>
          <w:szCs w:val="32"/>
        </w:rPr>
      </w:pPr>
      <w:r>
        <w:rPr>
          <w:rFonts w:hint="eastAsia" w:ascii="黑体" w:eastAsia="黑体" w:cs="黑体"/>
          <w:color w:val="000000"/>
          <w:sz w:val="32"/>
          <w:szCs w:val="32"/>
        </w:rPr>
        <w:t>二、</w:t>
      </w:r>
      <w:r>
        <w:rPr>
          <w:rFonts w:ascii="黑体" w:eastAsia="黑体" w:cs="黑体"/>
          <w:color w:val="000000"/>
          <w:sz w:val="32"/>
          <w:szCs w:val="32"/>
        </w:rPr>
        <w:t>招生</w:t>
      </w:r>
      <w:r>
        <w:rPr>
          <w:rFonts w:hint="eastAsia" w:ascii="黑体" w:eastAsia="黑体" w:cs="黑体"/>
          <w:color w:val="000000"/>
          <w:sz w:val="32"/>
          <w:szCs w:val="32"/>
        </w:rPr>
        <w:t>对象</w:t>
      </w:r>
    </w:p>
    <w:p w14:paraId="0E67F96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ascii="CESI仿宋-GB2312" w:eastAsia="CESI仿宋-GB2312" w:cs="CESI仿宋-GB2312"/>
          <w:sz w:val="32"/>
          <w:szCs w:val="32"/>
        </w:rPr>
      </w:pPr>
      <w:r>
        <w:rPr>
          <w:rFonts w:hint="eastAsia" w:ascii="CESI仿宋-GB2312" w:eastAsia="CESI仿宋-GB2312" w:cs="CESI仿宋-GB2312"/>
          <w:sz w:val="32"/>
          <w:szCs w:val="32"/>
        </w:rPr>
        <w:t>本人及父亲（母亲）或法定监护人的户籍须在我省农村，本人具有当地连续3年以上农村户籍；本人需在户籍所在市州报名，并且符合我省统一高考报名条件且已报名参加我省202</w:t>
      </w:r>
      <w:r>
        <w:rPr>
          <w:rFonts w:hint="eastAsia" w:ascii="CESI仿宋-GB2312" w:eastAsia="CESI仿宋-GB2312" w:cs="CESI仿宋-GB2312"/>
          <w:sz w:val="32"/>
          <w:szCs w:val="32"/>
          <w:lang w:val="en-US" w:eastAsia="zh-CN"/>
        </w:rPr>
        <w:t>4</w:t>
      </w:r>
      <w:r>
        <w:rPr>
          <w:rFonts w:hint="eastAsia" w:ascii="CESI仿宋-GB2312" w:eastAsia="CESI仿宋-GB2312" w:cs="CESI仿宋-GB2312"/>
          <w:sz w:val="32"/>
          <w:szCs w:val="32"/>
        </w:rPr>
        <w:t>年统一高考；身体条件符合《普通高等学校招生体检工作指导意见》（教学〔2003〕3号）等相关规定；本人热爱医疗卫生事业，自愿报考且承诺毕业后在农村基层医疗卫生机构履约服务6年（含衔接住院医师规范化培训3年）。</w:t>
      </w:r>
    </w:p>
    <w:p w14:paraId="00FACFF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sz w:val="32"/>
          <w:szCs w:val="32"/>
        </w:rPr>
      </w:pPr>
      <w:r>
        <w:rPr>
          <w:rFonts w:ascii="黑体" w:eastAsia="黑体" w:cs="黑体"/>
          <w:color w:val="000000"/>
          <w:sz w:val="32"/>
          <w:szCs w:val="32"/>
        </w:rPr>
        <w:t>三</w:t>
      </w:r>
      <w:r>
        <w:rPr>
          <w:rFonts w:hint="eastAsia" w:ascii="黑体" w:eastAsia="黑体" w:cs="黑体"/>
          <w:color w:val="000000"/>
          <w:sz w:val="32"/>
          <w:szCs w:val="32"/>
        </w:rPr>
        <w:t>、</w:t>
      </w:r>
      <w:r>
        <w:rPr>
          <w:rFonts w:ascii="黑体" w:eastAsia="黑体" w:cs="黑体"/>
          <w:color w:val="000000"/>
          <w:sz w:val="32"/>
          <w:szCs w:val="32"/>
        </w:rPr>
        <w:t>免费政策</w:t>
      </w:r>
    </w:p>
    <w:p w14:paraId="4B12B9C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0"/>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定向免费医学生注册后，在校学习期间享受“二免一补”（本科生在校学习期间免除学费5200 元／年·生，免缴住宿费800 元／年·生，并补助生活费4000 元／年·生）政策，高校教育学制5年。</w:t>
      </w:r>
    </w:p>
    <w:p w14:paraId="022685E4">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sz w:val="32"/>
          <w:szCs w:val="32"/>
        </w:rPr>
      </w:pPr>
      <w:r>
        <w:rPr>
          <w:rFonts w:ascii="黑体" w:eastAsia="黑体" w:cs="黑体"/>
          <w:sz w:val="32"/>
          <w:szCs w:val="32"/>
        </w:rPr>
        <w:t>四</w:t>
      </w:r>
      <w:r>
        <w:rPr>
          <w:rFonts w:hint="eastAsia" w:ascii="黑体" w:eastAsia="黑体" w:cs="黑体"/>
          <w:sz w:val="32"/>
          <w:szCs w:val="32"/>
        </w:rPr>
        <w:t>、</w:t>
      </w:r>
      <w:r>
        <w:rPr>
          <w:rFonts w:ascii="黑体" w:eastAsia="黑体" w:cs="黑体"/>
          <w:sz w:val="32"/>
          <w:szCs w:val="32"/>
        </w:rPr>
        <w:t>相关要求</w:t>
      </w:r>
    </w:p>
    <w:p w14:paraId="3110CC5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0"/>
        <w:textAlignment w:val="auto"/>
        <w:rPr>
          <w:rFonts w:hint="eastAsia" w:ascii="CESI仿宋-GB2312" w:eastAsia="CESI仿宋-GB2312" w:cs="CESI仿宋-GB2312"/>
          <w:sz w:val="32"/>
          <w:szCs w:val="32"/>
        </w:rPr>
      </w:pPr>
      <w:r>
        <w:rPr>
          <w:rFonts w:hint="eastAsia" w:ascii="楷体_GB2312" w:eastAsia="楷体_GB2312" w:cs="楷体_GB2312"/>
          <w:sz w:val="32"/>
          <w:szCs w:val="32"/>
        </w:rPr>
        <w:t>（</w:t>
      </w:r>
      <w:r>
        <w:rPr>
          <w:rFonts w:ascii="楷体_GB2312" w:eastAsia="楷体_GB2312" w:cs="楷体_GB2312"/>
          <w:sz w:val="32"/>
          <w:szCs w:val="32"/>
        </w:rPr>
        <w:t>一</w:t>
      </w:r>
      <w:r>
        <w:rPr>
          <w:rFonts w:hint="eastAsia" w:ascii="楷体_GB2312" w:eastAsia="楷体_GB2312" w:cs="楷体_GB2312"/>
          <w:sz w:val="32"/>
          <w:szCs w:val="32"/>
        </w:rPr>
        <w:t>）</w:t>
      </w:r>
      <w:r>
        <w:rPr>
          <w:rFonts w:ascii="楷体_GB2312" w:eastAsia="楷体_GB2312" w:cs="楷体_GB2312"/>
          <w:sz w:val="32"/>
          <w:szCs w:val="32"/>
        </w:rPr>
        <w:t>志愿填报</w:t>
      </w:r>
      <w:r>
        <w:rPr>
          <w:rFonts w:hint="eastAsia" w:ascii="楷体_GB2312" w:eastAsia="楷体_GB2312" w:cs="楷体_GB2312"/>
          <w:sz w:val="32"/>
          <w:szCs w:val="32"/>
        </w:rPr>
        <w:t>。</w:t>
      </w:r>
      <w:r>
        <w:rPr>
          <w:rFonts w:hint="eastAsia" w:ascii="CESI仿宋-GB2312" w:eastAsia="CESI仿宋-GB2312" w:cs="CESI仿宋-GB2312"/>
          <w:color w:val="000000"/>
          <w:spacing w:val="-4"/>
          <w:sz w:val="32"/>
          <w:szCs w:val="32"/>
        </w:rPr>
        <w:t>通过省级公示名单的考生于6</w:t>
      </w:r>
      <w:r>
        <w:rPr>
          <w:rFonts w:hint="eastAsia" w:ascii="CESI仿宋-GB2312" w:eastAsia="CESI仿宋-GB2312" w:cs="CESI仿宋-GB2312"/>
          <w:color w:val="000000"/>
          <w:sz w:val="32"/>
          <w:szCs w:val="32"/>
        </w:rPr>
        <w:t>月29日8：00到6月30日17：00在本科提前批单设志愿栏内填报志愿。录取时，各高校根据考生志愿和成绩信息，按市（州）招生计划总数，分市（州）从高分到低分确定录取名单。未完成的计划公开征集志愿。已录取的定向免费医学生不再参加后续批次录取；未录取的考生不影响后续批次录取。</w:t>
      </w:r>
    </w:p>
    <w:p w14:paraId="22747A46">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0"/>
        <w:textAlignment w:val="auto"/>
        <w:rPr>
          <w:rFonts w:hint="eastAsia" w:ascii="CESI仿宋-GB2312" w:eastAsia="CESI仿宋-GB2312" w:cs="CESI仿宋-GB2312"/>
          <w:sz w:val="32"/>
          <w:szCs w:val="32"/>
        </w:rPr>
      </w:pPr>
      <w:r>
        <w:rPr>
          <w:rFonts w:hint="eastAsia" w:ascii="楷体_GB2312" w:eastAsia="楷体_GB2312" w:cs="楷体_GB2312"/>
          <w:sz w:val="32"/>
          <w:szCs w:val="32"/>
        </w:rPr>
        <w:t>（</w:t>
      </w:r>
      <w:r>
        <w:rPr>
          <w:rFonts w:ascii="楷体_GB2312" w:eastAsia="楷体_GB2312" w:cs="楷体_GB2312"/>
          <w:sz w:val="32"/>
          <w:szCs w:val="32"/>
        </w:rPr>
        <w:t>二</w:t>
      </w:r>
      <w:r>
        <w:rPr>
          <w:rFonts w:hint="eastAsia" w:ascii="楷体_GB2312" w:eastAsia="楷体_GB2312" w:cs="楷体_GB2312"/>
          <w:sz w:val="32"/>
          <w:szCs w:val="32"/>
        </w:rPr>
        <w:t>）签订就业协议。</w:t>
      </w:r>
      <w:r>
        <w:rPr>
          <w:rFonts w:hint="eastAsia" w:ascii="CESI仿宋-GB2312" w:eastAsia="CESI仿宋-GB2312" w:cs="CESI仿宋-GB2312"/>
          <w:sz w:val="32"/>
          <w:szCs w:val="32"/>
        </w:rPr>
        <w:t>202</w:t>
      </w:r>
      <w:r>
        <w:rPr>
          <w:rFonts w:hint="eastAsia" w:ascii="CESI仿宋-GB2312" w:eastAsia="CESI仿宋-GB2312" w:cs="CESI仿宋-GB2312"/>
          <w:sz w:val="32"/>
          <w:szCs w:val="32"/>
          <w:lang w:val="en-US" w:eastAsia="zh-CN"/>
        </w:rPr>
        <w:t>4</w:t>
      </w:r>
      <w:r>
        <w:rPr>
          <w:rFonts w:hint="eastAsia" w:ascii="CESI仿宋-GB2312" w:eastAsia="CESI仿宋-GB2312" w:cs="CESI仿宋-GB2312"/>
          <w:sz w:val="32"/>
          <w:szCs w:val="32"/>
        </w:rPr>
        <w:t>年</w:t>
      </w:r>
      <w:r>
        <w:rPr>
          <w:rFonts w:hint="eastAsia" w:ascii="CESI仿宋-GB2312" w:eastAsia="CESI仿宋-GB2312" w:cs="CESI仿宋-GB2312"/>
          <w:color w:val="000000"/>
          <w:spacing w:val="-8"/>
          <w:sz w:val="32"/>
          <w:szCs w:val="32"/>
        </w:rPr>
        <w:t>高考招录结束后，根据各高校（湖北科技学院、湖北医药学院、湖北中医药大学）实际招录结果，由市州卫生健康主管部门以市州为单位，按照“市州为单位、户籍优先、市州统筹”原则统筹分配录取定向医学生到定向县，录取定向医学生须与定向就业所在地的县级卫生健康行政部门、人力资源社会保障部门签</w:t>
      </w:r>
      <w:r>
        <w:rPr>
          <w:rFonts w:ascii="CESI仿宋-GB2312" w:eastAsia="CESI仿宋-GB2312" w:cs="CESI仿宋-GB2312"/>
          <w:color w:val="000000"/>
          <w:spacing w:val="-8"/>
          <w:sz w:val="32"/>
          <w:szCs w:val="32"/>
        </w:rPr>
        <w:t>订</w:t>
      </w:r>
      <w:r>
        <w:rPr>
          <w:rFonts w:hint="eastAsia" w:ascii="CESI仿宋-GB2312" w:eastAsia="CESI仿宋-GB2312" w:cs="CESI仿宋-GB2312"/>
          <w:color w:val="000000"/>
          <w:spacing w:val="-8"/>
          <w:sz w:val="32"/>
          <w:szCs w:val="32"/>
        </w:rPr>
        <w:t>《农村订单定向医学生免费培养定向就业协议书》，享有相关权利和义务。</w:t>
      </w:r>
    </w:p>
    <w:p w14:paraId="109E5CC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0"/>
        <w:textAlignment w:val="auto"/>
        <w:rPr>
          <w:sz w:val="19"/>
          <w:szCs w:val="19"/>
        </w:rPr>
      </w:pPr>
      <w:r>
        <w:rPr>
          <w:rFonts w:hint="eastAsia" w:ascii="楷体_GB2312" w:eastAsia="楷体_GB2312" w:cs="楷体_GB2312"/>
          <w:sz w:val="32"/>
          <w:szCs w:val="32"/>
        </w:rPr>
        <w:t>（</w:t>
      </w:r>
      <w:r>
        <w:rPr>
          <w:rFonts w:ascii="楷体_GB2312" w:eastAsia="楷体_GB2312" w:cs="楷体_GB2312"/>
          <w:sz w:val="32"/>
          <w:szCs w:val="32"/>
        </w:rPr>
        <w:t>三</w:t>
      </w:r>
      <w:r>
        <w:rPr>
          <w:rFonts w:hint="eastAsia" w:ascii="楷体_GB2312" w:eastAsia="楷体_GB2312" w:cs="楷体_GB2312"/>
          <w:sz w:val="32"/>
          <w:szCs w:val="32"/>
        </w:rPr>
        <w:t>）报到注册。</w:t>
      </w:r>
      <w:r>
        <w:rPr>
          <w:rFonts w:hint="eastAsia" w:ascii="仿宋_GB2312" w:eastAsia="仿宋_GB2312" w:cs="仿宋_GB2312"/>
          <w:color w:val="000000"/>
          <w:spacing w:val="-4"/>
          <w:sz w:val="32"/>
          <w:szCs w:val="32"/>
        </w:rPr>
        <w:t>定向免费医学生须持高校录取通知书及定向就业协议书按规定时间到校完成报到注册。对于未签订定向就业协议书的学生，高校不予注册。考生被录取后无生病等特殊原因或不可抗力等双方约定或其他合法解约事由，进校后不能转专业。考生未按时报到入学的，视为放弃入学资格。</w:t>
      </w:r>
    </w:p>
    <w:p w14:paraId="7E292F30">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0"/>
        <w:textAlignment w:val="auto"/>
        <w:rPr>
          <w:rFonts w:ascii="CESI仿宋-GB2312" w:eastAsia="CESI仿宋-GB2312" w:cs="CESI仿宋-GB2312"/>
          <w:sz w:val="32"/>
          <w:szCs w:val="32"/>
        </w:rPr>
      </w:pPr>
      <w:r>
        <w:rPr>
          <w:rFonts w:hint="eastAsia" w:ascii="楷体_GB2312" w:eastAsia="楷体_GB2312" w:cs="楷体_GB2312"/>
          <w:sz w:val="32"/>
          <w:szCs w:val="32"/>
        </w:rPr>
        <w:t>（</w:t>
      </w:r>
      <w:r>
        <w:rPr>
          <w:rFonts w:ascii="楷体_GB2312" w:eastAsia="楷体_GB2312" w:cs="楷体_GB2312"/>
          <w:sz w:val="32"/>
          <w:szCs w:val="32"/>
        </w:rPr>
        <w:t>四</w:t>
      </w:r>
      <w:r>
        <w:rPr>
          <w:rFonts w:hint="eastAsia" w:ascii="楷体_GB2312" w:eastAsia="楷体_GB2312" w:cs="楷体_GB2312"/>
          <w:sz w:val="32"/>
          <w:szCs w:val="32"/>
        </w:rPr>
        <w:t>）就业安置。</w:t>
      </w:r>
      <w:r>
        <w:rPr>
          <w:rFonts w:hint="eastAsia" w:ascii="CESI仿宋-GB2312" w:eastAsia="CESI仿宋-GB2312" w:cs="CESI仿宋-GB2312"/>
          <w:sz w:val="32"/>
          <w:szCs w:val="32"/>
        </w:rPr>
        <w:t>毕业后按照入学前签署的定向就业协议，到定向所在地县级卫生行政部门报到，由定向县卫生健康行政部门分配基层医疗卫生机构，落实相关编制和劳动待遇。上岗后，需参加3年全科住院医师规范化培训，培训结业后到基层医疗卫生机构全科岗位履约3年，有条件的地区可实行“县管乡用”（县级医疗卫生机构聘用管理、乡镇卫生院使用）。</w:t>
      </w:r>
    </w:p>
    <w:p w14:paraId="459A1E2D">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sz w:val="32"/>
          <w:szCs w:val="32"/>
        </w:rPr>
      </w:pPr>
      <w:r>
        <w:rPr>
          <w:rFonts w:ascii="黑体" w:eastAsia="黑体" w:cs="黑体"/>
          <w:sz w:val="32"/>
          <w:szCs w:val="32"/>
        </w:rPr>
        <w:t>五</w:t>
      </w:r>
      <w:r>
        <w:rPr>
          <w:rFonts w:hint="eastAsia" w:ascii="黑体" w:eastAsia="黑体" w:cs="黑体"/>
          <w:sz w:val="32"/>
          <w:szCs w:val="32"/>
        </w:rPr>
        <w:t>、违约处理</w:t>
      </w:r>
    </w:p>
    <w:p w14:paraId="6376782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定向医学生违约情况包括但不限于以下情况：</w:t>
      </w:r>
    </w:p>
    <w:p w14:paraId="3D410149">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pacing w:val="-16"/>
          <w:sz w:val="32"/>
          <w:szCs w:val="32"/>
        </w:rPr>
      </w:pPr>
      <w:r>
        <w:rPr>
          <w:rFonts w:hint="eastAsia" w:ascii="CESI仿宋-GB2312" w:eastAsia="CESI仿宋-GB2312" w:cs="CESI仿宋-GB2312"/>
          <w:spacing w:val="-16"/>
          <w:sz w:val="32"/>
          <w:szCs w:val="32"/>
        </w:rPr>
        <w:t>1.除签订的就业协议书中规定的不可抗力因素外，自行放弃学籍；</w:t>
      </w:r>
    </w:p>
    <w:p w14:paraId="2FDB0E6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2.院校培养期间或服务期内，本科</w:t>
      </w:r>
      <w:r>
        <w:rPr>
          <w:rFonts w:ascii="CESI仿宋-GB2312" w:eastAsia="CESI仿宋-GB2312" w:cs="CESI仿宋-GB2312"/>
          <w:sz w:val="32"/>
          <w:szCs w:val="32"/>
        </w:rPr>
        <w:t>毕业后</w:t>
      </w:r>
      <w:r>
        <w:rPr>
          <w:rFonts w:hint="eastAsia" w:ascii="CESI仿宋-GB2312" w:eastAsia="CESI仿宋-GB2312" w:cs="CESI仿宋-GB2312"/>
          <w:sz w:val="32"/>
          <w:szCs w:val="32"/>
        </w:rPr>
        <w:t>报考脱产研究生，或者未征得定向服务县（市、区）卫生健康行政部门同意报考在职研究生；</w:t>
      </w:r>
    </w:p>
    <w:p w14:paraId="33EBA06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3.在校期间违反培养学校学籍管理规定予以退学处理或开除学籍，或违反国家法律受到刑事处罚；</w:t>
      </w:r>
    </w:p>
    <w:p w14:paraId="4ED88E9F">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4.未按规定参加住院医师规范化培训；</w:t>
      </w:r>
    </w:p>
    <w:p w14:paraId="493B59D5">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5.未经培训基地和定向地县（市、区）卫生健康行政部门同意自行放弃培训，或拒绝履行签订的培养协议中规定义务；</w:t>
      </w:r>
    </w:p>
    <w:p w14:paraId="6D23FB1E">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6.培训期间违反培训基地管理规定被取消培训资格的或违反国家法律受到刑事处罚；</w:t>
      </w:r>
    </w:p>
    <w:p w14:paraId="3D4D9B5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7.在国家和省级规定的最长时间内仍未取得住院医师规范化培训结业证书；</w:t>
      </w:r>
    </w:p>
    <w:p w14:paraId="6C7ABE9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8.在学校毕业后和规范化培训结束后未按规定到定向服务就业部门或单位报到，超过10 个工作日未履行请假手续；</w:t>
      </w:r>
    </w:p>
    <w:p w14:paraId="191A51C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pacing w:val="-20"/>
          <w:sz w:val="32"/>
          <w:szCs w:val="32"/>
        </w:rPr>
      </w:pPr>
      <w:r>
        <w:rPr>
          <w:rFonts w:hint="eastAsia" w:ascii="CESI仿宋-GB2312" w:eastAsia="CESI仿宋-GB2312" w:cs="CESI仿宋-GB2312"/>
          <w:spacing w:val="-20"/>
          <w:sz w:val="32"/>
          <w:szCs w:val="32"/>
        </w:rPr>
        <w:t>9.未经定向地县（市、区）卫生健康行政部门批准擅自离职、离岗；</w:t>
      </w:r>
    </w:p>
    <w:p w14:paraId="1118B3F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10.未经定向地县（市、区）卫生健康行政部门同意，服务期内变更执业地点或改变服务单位；</w:t>
      </w:r>
    </w:p>
    <w:p w14:paraId="7BFE20DB">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11.服务期内，被服务单位依法依规解聘；</w:t>
      </w:r>
    </w:p>
    <w:p w14:paraId="5F6FD991">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12.达成解约意向后，未按时退还教育、培养费用及违约金；</w:t>
      </w:r>
    </w:p>
    <w:p w14:paraId="7446E947">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13.就业协议书、聘用合同或补充协议中约定的其它可视为违约的行为。</w:t>
      </w:r>
    </w:p>
    <w:p w14:paraId="5244A8A2">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40" w:lineRule="exact"/>
        <w:ind w:left="0" w:right="0" w:firstLine="634"/>
        <w:jc w:val="both"/>
        <w:textAlignment w:val="auto"/>
        <w:rPr>
          <w:rFonts w:hint="eastAsia" w:ascii="CESI仿宋-GB2312" w:eastAsia="CESI仿宋-GB2312" w:cs="CESI仿宋-GB2312"/>
          <w:sz w:val="32"/>
          <w:szCs w:val="32"/>
        </w:rPr>
      </w:pPr>
      <w:r>
        <w:rPr>
          <w:rFonts w:hint="eastAsia" w:ascii="CESI仿宋-GB2312" w:eastAsia="CESI仿宋-GB2312" w:cs="CESI仿宋-GB2312"/>
          <w:sz w:val="32"/>
          <w:szCs w:val="32"/>
        </w:rPr>
        <w:t>农村订单定向医学生履约管理和相关违约处理参照《关于加强和规范湖北省农村订单定向免费医学生履约过程管理的通知》（鄂卫通〔2021〕10号）要求实施。</w:t>
      </w:r>
    </w:p>
    <w:p w14:paraId="62A28C48">
      <w:pPr>
        <w:pStyle w:val="10"/>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Autospacing="0" w:after="0" w:afterAutospacing="0" w:line="580" w:lineRule="exact"/>
        <w:ind w:left="0" w:right="0" w:firstLine="634"/>
        <w:jc w:val="both"/>
        <w:textAlignment w:val="auto"/>
        <w:rPr>
          <w:sz w:val="24"/>
          <w:szCs w:val="24"/>
        </w:rPr>
      </w:pPr>
    </w:p>
    <w:p w14:paraId="02F6301A">
      <w:pPr>
        <w:pStyle w:val="10"/>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Autospacing="0" w:after="0" w:afterAutospacing="0" w:line="580" w:lineRule="exact"/>
        <w:ind w:left="0" w:right="0"/>
        <w:jc w:val="both"/>
        <w:rPr>
          <w:rFonts w:ascii="黑体" w:eastAsia="黑体" w:cs="黑体"/>
          <w:sz w:val="31"/>
          <w:szCs w:val="31"/>
        </w:rPr>
      </w:pPr>
    </w:p>
    <w:p w14:paraId="32E9FD4A">
      <w:pPr>
        <w:pStyle w:val="10"/>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Autospacing="0" w:after="0" w:afterAutospacing="0" w:line="580" w:lineRule="exact"/>
        <w:ind w:left="0" w:right="0"/>
        <w:jc w:val="both"/>
        <w:rPr>
          <w:rFonts w:ascii="黑体" w:eastAsia="黑体" w:cs="黑体"/>
          <w:sz w:val="31"/>
          <w:szCs w:val="31"/>
        </w:rPr>
      </w:pPr>
    </w:p>
    <w:p w14:paraId="07ED18E9">
      <w:pPr>
        <w:pStyle w:val="10"/>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Autospacing="0" w:after="0" w:afterAutospacing="0" w:line="580" w:lineRule="exact"/>
        <w:ind w:left="0" w:right="0"/>
        <w:jc w:val="both"/>
        <w:rPr>
          <w:rFonts w:ascii="黑体" w:eastAsia="黑体" w:cs="黑体"/>
          <w:sz w:val="31"/>
          <w:szCs w:val="31"/>
        </w:rPr>
      </w:pPr>
    </w:p>
    <w:p w14:paraId="3A2AC940">
      <w:pPr>
        <w:pStyle w:val="10"/>
        <w:keepNext w:val="0"/>
        <w:keepLines w:val="0"/>
        <w:widowControl w:val="0"/>
        <w:suppressLineNumbers w:val="0"/>
        <w:pBdr>
          <w:top w:val="none" w:color="auto" w:sz="0" w:space="0"/>
          <w:left w:val="none" w:color="auto" w:sz="0" w:space="0"/>
          <w:bottom w:val="none" w:color="auto" w:sz="0" w:space="0"/>
          <w:right w:val="none" w:color="auto" w:sz="0" w:space="0"/>
        </w:pBdr>
        <w:snapToGrid w:val="0"/>
        <w:spacing w:beforeAutospacing="0" w:after="0" w:afterAutospacing="0" w:line="580" w:lineRule="exact"/>
        <w:ind w:left="0" w:right="0"/>
        <w:jc w:val="both"/>
        <w:rPr>
          <w:rFonts w:hint="eastAsia" w:ascii="黑体" w:eastAsia="黑体" w:cs="黑体"/>
          <w:sz w:val="31"/>
          <w:szCs w:val="31"/>
          <w:lang w:val="en-US" w:eastAsia="zh-CN"/>
        </w:rPr>
      </w:pPr>
    </w:p>
    <w:sectPr>
      <w:footerReference r:id="rId3" w:type="default"/>
      <w:pgSz w:w="11906" w:h="16838"/>
      <w:pgMar w:top="2098" w:right="1474" w:bottom="1984" w:left="1587" w:header="851" w:footer="992" w:gutter="0"/>
      <w:cols w:space="720" w:num="1"/>
      <w:rtlGutter w:val="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ECF664-EAA3-49A1-AFFE-14B86BBE49A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embedRegular r:id="rId2" w:fontKey="{334D45DA-DBF6-48A4-A680-90020E1B6D0F}"/>
  </w:font>
  <w:font w:name="仿宋_GB2312">
    <w:panose1 w:val="02010609030101010101"/>
    <w:charset w:val="86"/>
    <w:family w:val="auto"/>
    <w:pitch w:val="default"/>
    <w:sig w:usb0="00000001" w:usb1="080E0000" w:usb2="00000000" w:usb3="00000000" w:csb0="00040000" w:csb1="00000000"/>
    <w:embedRegular r:id="rId3" w:fontKey="{729AC614-FBBB-4D4F-80C5-1C0C66695494}"/>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embedRegular r:id="rId4" w:fontKey="{3BC86059-B90D-49F6-B5FD-2462FF3B464F}"/>
  </w:font>
  <w:font w:name="CESI仿宋-GB2312">
    <w:altName w:val="仿宋"/>
    <w:panose1 w:val="02000500000000000000"/>
    <w:charset w:val="86"/>
    <w:family w:val="auto"/>
    <w:pitch w:val="default"/>
    <w:sig w:usb0="00000000" w:usb1="00000000" w:usb2="00000010" w:usb3="00000000" w:csb0="0004000F" w:csb1="00000000"/>
    <w:embedRegular r:id="rId5" w:fontKey="{5F92CCDE-8DF3-488E-988F-6932892B0AA4}"/>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800002BF" w:usb1="38CF7CFA" w:usb2="00000016"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72A44">
    <w:pPr>
      <w:pStyle w:val="8"/>
      <w:framePr w:wrap="around" w:vAnchor="text" w:hAnchor="margin" w:xAlign="center" w:y="1"/>
      <w:pBdr>
        <w:top w:val="none" w:color="auto" w:sz="0" w:space="0"/>
        <w:left w:val="none" w:color="auto" w:sz="0" w:space="0"/>
        <w:bottom w:val="none" w:color="auto" w:sz="0" w:space="0"/>
        <w:right w:val="none" w:color="auto" w:sz="0" w:space="0"/>
      </w:pBdr>
    </w:pPr>
    <w:r>
      <w:rPr>
        <w:rStyle w:val="14"/>
      </w:rPr>
      <w:fldChar w:fldCharType="begin"/>
    </w:r>
    <w:r>
      <w:rPr>
        <w:rStyle w:val="14"/>
      </w:rPr>
      <w:instrText xml:space="preserve">Page</w:instrText>
    </w:r>
    <w:r>
      <w:rPr>
        <w:rStyle w:val="14"/>
      </w:rPr>
      <w:fldChar w:fldCharType="separate"/>
    </w:r>
    <w:r>
      <w:rPr>
        <w:rStyle w:val="14"/>
      </w:rPr>
      <w:t>1</w:t>
    </w:r>
    <w:r>
      <w:rPr>
        <w:rStyle w:val="14"/>
      </w:rPr>
      <w:fldChar w:fldCharType="end"/>
    </w:r>
  </w:p>
  <w:p w14:paraId="16995C06">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dit="readOnly" w:enforcement="0"/>
  <w:defaultTabStop w:val="420"/>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4"/>
  </w:compat>
  <w:docVars>
    <w:docVar w:name="commondata" w:val="eyJoZGlkIjoiNWUwODU2NWM2ZmMyZTg4NDEwYjA4ZDZkZTM0NzllNDEifQ=="/>
  </w:docVars>
  <w:rsids>
    <w:rsidRoot w:val="00000000"/>
    <w:rsid w:val="090C1AE5"/>
    <w:rsid w:val="18191B17"/>
    <w:rsid w:val="20063391"/>
    <w:rsid w:val="255171C4"/>
    <w:rsid w:val="52B4767F"/>
    <w:rsid w:val="6E791F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qFormat/>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0"/>
    </w:pPr>
    <w:rPr>
      <w:rFonts w:ascii="宋体" w:eastAsia="宋体"/>
      <w:b/>
      <w:snapToGrid/>
      <w:color w:val="auto"/>
      <w:spacing w:val="0"/>
      <w:w w:val="100"/>
      <w:kern w:val="36"/>
      <w:position w:val="0"/>
      <w:sz w:val="48"/>
      <w:szCs w:val="21"/>
      <w:u w:val="none" w:color="auto"/>
      <w:vertAlign w:val="baseline"/>
      <w:lang w:val="en-US" w:eastAsia="zh-CN"/>
    </w:rPr>
  </w:style>
  <w:style w:type="paragraph" w:styleId="4">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2">
    <w:name w:val="heading 3"/>
    <w:basedOn w:val="1"/>
    <w:next w:val="1"/>
    <w:qFormat/>
    <w:uiPriority w:val="0"/>
    <w:pPr>
      <w:keepNext/>
      <w:keepLines/>
      <w:widowControl w:val="0"/>
      <w:adjustRightInd w:val="0"/>
      <w:snapToGrid w:val="0"/>
      <w:spacing w:line="580" w:lineRule="exact"/>
      <w:jc w:val="left"/>
      <w:outlineLvl w:val="2"/>
    </w:pPr>
    <w:rPr>
      <w:rFonts w:ascii="Times New Roman" w:hAnsi="Times New Roman" w:eastAsia="楷体_GB2312"/>
      <w:kern w:val="0"/>
      <w:sz w:val="32"/>
      <w:szCs w:val="20"/>
    </w:rPr>
  </w:style>
  <w:style w:type="character" w:default="1" w:styleId="12">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rPr>
      <w:rFonts w:ascii="Arial" w:hAnsi="Arial" w:eastAsia="黑体"/>
      <w:sz w:val="20"/>
    </w:rPr>
  </w:style>
  <w:style w:type="paragraph" w:styleId="6">
    <w:name w:val="Body Text Indent"/>
    <w:basedOn w:val="1"/>
    <w:next w:val="7"/>
    <w:qFormat/>
    <w:uiPriority w:val="0"/>
    <w:pPr>
      <w:spacing w:line="700" w:lineRule="exact"/>
      <w:ind w:left="882" w:hanging="882"/>
    </w:pPr>
    <w:rPr>
      <w:rFonts w:eastAsia="仿宋_GB2312"/>
      <w:sz w:val="30"/>
    </w:rPr>
  </w:style>
  <w:style w:type="paragraph" w:styleId="7">
    <w:name w:val="Body Text First Indent 2"/>
    <w:basedOn w:val="6"/>
    <w:next w:val="1"/>
    <w:qFormat/>
    <w:uiPriority w:val="0"/>
    <w:pPr>
      <w:spacing w:before="100" w:beforeAutospacing="1" w:after="100" w:afterAutospacing="1"/>
      <w:ind w:left="0" w:firstLine="420"/>
    </w:pPr>
    <w:rPr>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r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4</Pages>
  <Words>3824</Words>
  <Characters>4112</Characters>
  <Lines>571</Lines>
  <Paragraphs>195</Paragraphs>
  <TotalTime>150</TotalTime>
  <ScaleCrop>false</ScaleCrop>
  <LinksUpToDate>false</LinksUpToDate>
  <CharactersWithSpaces>4509</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2024-03-25T21:18:00Z</dcterms:created>
  <dc:creator>Administrator</dc:creator>
  <cp:lastModifiedBy>药不能停</cp:lastModifiedBy>
  <dcterms:modified xsi:type="dcterms:W3CDTF">2024-08-29T07:57:12Z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ABCB0407B9614508AC2CF45D7D927FF6_13</vt:lpwstr>
  </property>
</Properties>
</file>