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eastAsia="方正大标宋简体"/>
          <w:color w:val="auto"/>
          <w:kern w:val="0"/>
          <w:sz w:val="72"/>
          <w:szCs w:val="72"/>
        </w:rPr>
      </w:pPr>
    </w:p>
    <w:p>
      <w:pPr>
        <w:spacing w:line="240" w:lineRule="auto"/>
        <w:ind w:firstLine="0" w:firstLineChars="0"/>
        <w:rPr>
          <w:rFonts w:eastAsia="方正大标宋简体"/>
          <w:color w:val="auto"/>
          <w:kern w:val="0"/>
          <w:sz w:val="72"/>
          <w:szCs w:val="72"/>
        </w:rPr>
      </w:pPr>
    </w:p>
    <w:p>
      <w:pPr>
        <w:spacing w:line="240" w:lineRule="auto"/>
        <w:ind w:firstLine="0" w:firstLineChars="0"/>
        <w:rPr>
          <w:rFonts w:eastAsia="方正大标宋简体"/>
          <w:color w:val="auto"/>
          <w:kern w:val="0"/>
          <w:sz w:val="72"/>
          <w:szCs w:val="72"/>
        </w:rPr>
      </w:pPr>
    </w:p>
    <w:p>
      <w:pPr>
        <w:spacing w:line="240" w:lineRule="auto"/>
        <w:ind w:firstLine="0" w:firstLineChars="0"/>
        <w:rPr>
          <w:rFonts w:eastAsia="方正大标宋简体"/>
          <w:color w:val="auto"/>
          <w:kern w:val="0"/>
          <w:sz w:val="72"/>
          <w:szCs w:val="72"/>
        </w:rPr>
      </w:pPr>
      <w:r>
        <w:rPr>
          <w:rFonts w:hint="eastAsia" w:eastAsia="方正大标宋简体"/>
          <w:color w:val="auto"/>
          <w:kern w:val="0"/>
          <w:sz w:val="72"/>
          <w:szCs w:val="72"/>
        </w:rPr>
        <w:t>东岳路街道办事处国民经</w:t>
      </w:r>
    </w:p>
    <w:p>
      <w:pPr>
        <w:spacing w:line="240" w:lineRule="auto"/>
        <w:ind w:firstLine="0" w:firstLineChars="0"/>
        <w:jc w:val="center"/>
        <w:rPr>
          <w:rFonts w:eastAsia="方正大标宋简体"/>
          <w:color w:val="auto"/>
          <w:kern w:val="0"/>
          <w:sz w:val="72"/>
          <w:szCs w:val="72"/>
        </w:rPr>
      </w:pPr>
      <w:r>
        <w:rPr>
          <w:rFonts w:hint="eastAsia" w:eastAsia="方正大标宋简体"/>
          <w:color w:val="auto"/>
          <w:kern w:val="0"/>
          <w:sz w:val="72"/>
          <w:szCs w:val="72"/>
        </w:rPr>
        <w:t>济和社会发展</w:t>
      </w:r>
      <w:r>
        <w:rPr>
          <w:rFonts w:eastAsia="方正大标宋简体"/>
          <w:color w:val="auto"/>
          <w:w w:val="90"/>
          <w:kern w:val="0"/>
          <w:sz w:val="72"/>
          <w:szCs w:val="72"/>
        </w:rPr>
        <w:t>第十四个五年规划纲要</w:t>
      </w:r>
    </w:p>
    <w:p>
      <w:pPr>
        <w:rPr>
          <w:color w:val="auto"/>
        </w:rPr>
      </w:pPr>
      <w:bookmarkStart w:id="267" w:name="_GoBack"/>
      <w:bookmarkEnd w:id="267"/>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560" w:lineRule="exact"/>
        <w:ind w:firstLine="0" w:firstLineChars="0"/>
        <w:jc w:val="center"/>
        <w:rPr>
          <w:rFonts w:eastAsia="楷体_GB2312"/>
          <w:b/>
          <w:bCs/>
          <w:color w:val="auto"/>
          <w:sz w:val="36"/>
          <w:szCs w:val="36"/>
        </w:rPr>
      </w:pPr>
      <w:r>
        <w:rPr>
          <w:rFonts w:hint="eastAsia" w:eastAsia="楷体_GB2312"/>
          <w:b/>
          <w:bCs/>
          <w:color w:val="auto"/>
          <w:sz w:val="36"/>
          <w:szCs w:val="36"/>
        </w:rPr>
        <w:t>东岳路街道办事处</w:t>
      </w:r>
    </w:p>
    <w:p>
      <w:pPr>
        <w:spacing w:line="560" w:lineRule="exact"/>
        <w:ind w:firstLine="0" w:firstLineChars="0"/>
        <w:jc w:val="center"/>
        <w:rPr>
          <w:rFonts w:eastAsia="楷体_GB2312"/>
          <w:b/>
          <w:bCs/>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eastAsia="楷体_GB2312"/>
          <w:b/>
          <w:bCs/>
          <w:color w:val="auto"/>
          <w:sz w:val="36"/>
          <w:szCs w:val="36"/>
        </w:rPr>
        <w:t>二〇二</w:t>
      </w:r>
      <w:r>
        <w:rPr>
          <w:rFonts w:hint="eastAsia" w:eastAsia="楷体_GB2312"/>
          <w:b/>
          <w:bCs/>
          <w:color w:val="auto"/>
          <w:sz w:val="36"/>
          <w:szCs w:val="36"/>
        </w:rPr>
        <w:t>一</w:t>
      </w:r>
      <w:r>
        <w:rPr>
          <w:rFonts w:eastAsia="楷体_GB2312"/>
          <w:b/>
          <w:bCs/>
          <w:color w:val="auto"/>
          <w:sz w:val="36"/>
          <w:szCs w:val="36"/>
        </w:rPr>
        <w:t>年</w:t>
      </w:r>
      <w:r>
        <w:rPr>
          <w:rFonts w:hint="eastAsia" w:eastAsia="楷体_GB2312"/>
          <w:b/>
          <w:bCs/>
          <w:color w:val="auto"/>
          <w:sz w:val="36"/>
          <w:szCs w:val="36"/>
        </w:rPr>
        <w:t>一</w:t>
      </w:r>
      <w:r>
        <w:rPr>
          <w:rFonts w:eastAsia="楷体_GB2312"/>
          <w:b/>
          <w:bCs/>
          <w:color w:val="auto"/>
          <w:sz w:val="36"/>
          <w:szCs w:val="36"/>
        </w:rPr>
        <w:t>月</w:t>
      </w:r>
    </w:p>
    <w:sdt>
      <w:sdtPr>
        <w:rPr>
          <w:rFonts w:eastAsia="黑体"/>
          <w:color w:val="auto"/>
          <w:sz w:val="36"/>
          <w:szCs w:val="36"/>
        </w:rPr>
        <w:id w:val="147463310"/>
        <w15:color w:val="DBDBDB"/>
        <w:docPartObj>
          <w:docPartGallery w:val="Table of Contents"/>
          <w:docPartUnique/>
        </w:docPartObj>
      </w:sdtPr>
      <w:sdtEndPr>
        <w:rPr>
          <w:rFonts w:eastAsia="黑体"/>
          <w:color w:val="auto"/>
          <w:sz w:val="36"/>
          <w:szCs w:val="36"/>
        </w:rPr>
      </w:sdtEndPr>
      <w:sdtContent>
        <w:p>
          <w:pPr>
            <w:ind w:firstLine="0" w:firstLineChars="0"/>
            <w:jc w:val="center"/>
            <w:rPr>
              <w:rFonts w:eastAsia="黑体"/>
              <w:color w:val="auto"/>
              <w:sz w:val="36"/>
              <w:szCs w:val="36"/>
            </w:rPr>
          </w:pPr>
          <w:r>
            <w:rPr>
              <w:rFonts w:eastAsia="黑体"/>
              <w:color w:val="auto"/>
              <w:sz w:val="36"/>
              <w:szCs w:val="36"/>
            </w:rPr>
            <w:t>目  录</w:t>
          </w:r>
        </w:p>
        <w:p>
          <w:pPr>
            <w:pStyle w:val="39"/>
            <w:tabs>
              <w:tab w:val="right" w:leader="dot" w:pos="8306"/>
            </w:tabs>
            <w:spacing w:line="360" w:lineRule="auto"/>
            <w:rPr>
              <w:rFonts w:ascii="Times New Roman" w:hAnsi="Times New Roman" w:eastAsia="楷体" w:cs="Times New Roman"/>
              <w:sz w:val="32"/>
              <w:szCs w:val="32"/>
            </w:rPr>
          </w:pP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TOC \o "1-3" \h \u </w:instrText>
          </w:r>
          <w:r>
            <w:rPr>
              <w:rFonts w:ascii="Times New Roman" w:hAnsi="Times New Roman" w:eastAsia="楷体" w:cs="Times New Roman"/>
              <w:sz w:val="32"/>
              <w:szCs w:val="32"/>
            </w:rPr>
            <w:fldChar w:fldCharType="separate"/>
          </w:r>
          <w:r>
            <w:fldChar w:fldCharType="begin"/>
          </w:r>
          <w:r>
            <w:instrText xml:space="preserve"> HYPERLINK \l "_Toc3941" </w:instrText>
          </w:r>
          <w:r>
            <w:fldChar w:fldCharType="separate"/>
          </w:r>
          <w:r>
            <w:rPr>
              <w:rFonts w:ascii="Times New Roman" w:hAnsi="Times New Roman" w:eastAsia="黑体" w:cs="Times New Roman"/>
              <w:sz w:val="32"/>
              <w:szCs w:val="32"/>
            </w:rPr>
            <w:t>第一章 全面进入新发展阶段</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_Toc3941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1</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"_Toc7984" </w:instrText>
          </w:r>
          <w:r>
            <w:fldChar w:fldCharType="separate"/>
          </w:r>
          <w:r>
            <w:rPr>
              <w:rFonts w:ascii="Times New Roman" w:hAnsi="Times New Roman" w:eastAsia="楷体" w:cs="Times New Roman"/>
              <w:sz w:val="32"/>
              <w:szCs w:val="32"/>
            </w:rPr>
            <w:t>第一节 “十三五”发展成就</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_Toc7984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1</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"_Toc16718" </w:instrText>
          </w:r>
          <w:r>
            <w:fldChar w:fldCharType="separate"/>
          </w:r>
          <w:r>
            <w:rPr>
              <w:rFonts w:ascii="Times New Roman" w:hAnsi="Times New Roman" w:eastAsia="楷体" w:cs="Times New Roman"/>
              <w:sz w:val="32"/>
              <w:szCs w:val="32"/>
            </w:rPr>
            <w:t>第二节 面临形势和发展机遇</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_Toc16718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"_Toc28900" </w:instrText>
          </w:r>
          <w:r>
            <w:fldChar w:fldCharType="separate"/>
          </w:r>
          <w:r>
            <w:rPr>
              <w:rFonts w:ascii="Times New Roman" w:hAnsi="Times New Roman" w:eastAsia="楷体" w:cs="Times New Roman"/>
              <w:sz w:val="32"/>
              <w:szCs w:val="32"/>
            </w:rPr>
            <w:t>一、发展机遇</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_Toc28900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"_Toc16640" </w:instrText>
          </w:r>
          <w:r>
            <w:fldChar w:fldCharType="separate"/>
          </w:r>
          <w:r>
            <w:rPr>
              <w:rFonts w:ascii="Times New Roman" w:hAnsi="Times New Roman" w:eastAsia="楷体" w:cs="Times New Roman"/>
              <w:sz w:val="32"/>
              <w:szCs w:val="32"/>
            </w:rPr>
            <w:t>二、面临挑战</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_Toc16640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8</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"_Toc4608" </w:instrText>
          </w:r>
          <w:r>
            <w:fldChar w:fldCharType="separate"/>
          </w:r>
          <w:r>
            <w:rPr>
              <w:rFonts w:ascii="Times New Roman" w:hAnsi="Times New Roman" w:eastAsia="楷体" w:cs="Times New Roman"/>
              <w:sz w:val="32"/>
              <w:szCs w:val="32"/>
            </w:rPr>
            <w:t>第三节 总体思路和发展原则</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_Toc4608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9</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"_Toc308" </w:instrText>
          </w:r>
          <w:r>
            <w:fldChar w:fldCharType="separate"/>
          </w:r>
          <w:r>
            <w:rPr>
              <w:rFonts w:ascii="Times New Roman" w:hAnsi="Times New Roman" w:eastAsia="楷体" w:cs="Times New Roman"/>
              <w:sz w:val="32"/>
              <w:szCs w:val="32"/>
            </w:rPr>
            <w:t>一、总体思路</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_Toc308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9</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"_Toc23148" </w:instrText>
          </w:r>
          <w:r>
            <w:fldChar w:fldCharType="separate"/>
          </w:r>
          <w:r>
            <w:rPr>
              <w:rFonts w:ascii="Times New Roman" w:hAnsi="Times New Roman" w:eastAsia="楷体" w:cs="Times New Roman"/>
              <w:sz w:val="32"/>
              <w:szCs w:val="32"/>
            </w:rPr>
            <w:t>二、发展原则</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_Toc23148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10</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"_Toc12797" </w:instrText>
          </w:r>
          <w:r>
            <w:fldChar w:fldCharType="separate"/>
          </w:r>
          <w:r>
            <w:rPr>
              <w:rFonts w:ascii="Times New Roman" w:hAnsi="Times New Roman" w:eastAsia="楷体" w:cs="Times New Roman"/>
              <w:sz w:val="32"/>
              <w:szCs w:val="32"/>
            </w:rPr>
            <w:t>第四节 发展定位和发展目标</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_Toc12797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11</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"_Toc14989" </w:instrText>
          </w:r>
          <w:r>
            <w:fldChar w:fldCharType="separate"/>
          </w:r>
          <w:r>
            <w:rPr>
              <w:rFonts w:ascii="Times New Roman" w:hAnsi="Times New Roman" w:eastAsia="楷体" w:cs="Times New Roman"/>
              <w:sz w:val="32"/>
              <w:szCs w:val="32"/>
            </w:rPr>
            <w:t>一、发展定位</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_Toc14989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11</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"_Toc2113" </w:instrText>
          </w:r>
          <w:r>
            <w:fldChar w:fldCharType="separate"/>
          </w:r>
          <w:r>
            <w:rPr>
              <w:rFonts w:ascii="Times New Roman" w:hAnsi="Times New Roman" w:eastAsia="楷体" w:cs="Times New Roman"/>
              <w:sz w:val="32"/>
              <w:szCs w:val="32"/>
            </w:rPr>
            <w:t>二、发展目标</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_Toc2113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12</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39"/>
            <w:tabs>
              <w:tab w:val="right" w:leader="dot" w:pos="8306"/>
            </w:tabs>
            <w:spacing w:line="360" w:lineRule="auto"/>
            <w:rPr>
              <w:rFonts w:ascii="Times New Roman" w:hAnsi="Times New Roman" w:eastAsia="黑体" w:cs="Times New Roman"/>
              <w:sz w:val="32"/>
              <w:szCs w:val="32"/>
            </w:rPr>
          </w:pPr>
          <w:r>
            <w:fldChar w:fldCharType="begin"/>
          </w:r>
          <w:r>
            <w:instrText xml:space="preserve"> HYPERLINK \l "_Toc26982" </w:instrText>
          </w:r>
          <w:r>
            <w:fldChar w:fldCharType="separate"/>
          </w:r>
          <w:r>
            <w:rPr>
              <w:rFonts w:ascii="Times New Roman" w:hAnsi="Times New Roman" w:eastAsia="黑体" w:cs="Times New Roman"/>
              <w:sz w:val="32"/>
              <w:szCs w:val="32"/>
            </w:rPr>
            <w:t>第二章 建设现代服务业高地</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_Toc26982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15</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"_Toc21631" </w:instrText>
          </w:r>
          <w:r>
            <w:fldChar w:fldCharType="separate"/>
          </w:r>
          <w:r>
            <w:rPr>
              <w:rFonts w:ascii="Times New Roman" w:hAnsi="Times New Roman" w:eastAsia="楷体" w:cs="Times New Roman"/>
              <w:sz w:val="32"/>
              <w:szCs w:val="32"/>
            </w:rPr>
            <w:t>第一节 瞄准消费升级，做优商业服务</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_Toc21631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15</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"_Toc20622" </w:instrText>
          </w:r>
          <w:r>
            <w:fldChar w:fldCharType="separate"/>
          </w:r>
          <w:r>
            <w:rPr>
              <w:rFonts w:ascii="Times New Roman" w:hAnsi="Times New Roman" w:eastAsia="楷体" w:cs="Times New Roman"/>
              <w:sz w:val="32"/>
              <w:szCs w:val="32"/>
            </w:rPr>
            <w:t>第二节 瞄准产业转型，做大商务服务</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_Toc20622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17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"_Toc26714" </w:instrText>
          </w:r>
          <w:r>
            <w:fldChar w:fldCharType="separate"/>
          </w:r>
          <w:r>
            <w:rPr>
              <w:rFonts w:ascii="Times New Roman" w:hAnsi="Times New Roman" w:eastAsia="楷体" w:cs="Times New Roman"/>
              <w:sz w:val="32"/>
              <w:szCs w:val="32"/>
            </w:rPr>
            <w:t>第三节 瞄准民生福祉，做强公共服务</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_Toc26714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20</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"_Toc21179" </w:instrText>
          </w:r>
          <w:r>
            <w:fldChar w:fldCharType="separate"/>
          </w:r>
          <w:r>
            <w:rPr>
              <w:rFonts w:ascii="Times New Roman" w:hAnsi="Times New Roman" w:eastAsia="楷体" w:cs="Times New Roman"/>
              <w:sz w:val="32"/>
              <w:szCs w:val="32"/>
            </w:rPr>
            <w:t>第四节 优化营商环境 助推服务业发展</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_Toc21179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23</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39"/>
            <w:tabs>
              <w:tab w:val="right" w:leader="dot" w:pos="8306"/>
            </w:tabs>
            <w:spacing w:line="360" w:lineRule="auto"/>
            <w:rPr>
              <w:rFonts w:ascii="Times New Roman" w:hAnsi="Times New Roman" w:eastAsia="黑体" w:cs="Times New Roman"/>
              <w:sz w:val="32"/>
              <w:szCs w:val="32"/>
            </w:rPr>
          </w:pPr>
          <w:r>
            <w:fldChar w:fldCharType="begin"/>
          </w:r>
          <w:r>
            <w:instrText xml:space="preserve"> HYPERLINK \l "_Toc15678" </w:instrText>
          </w:r>
          <w:r>
            <w:fldChar w:fldCharType="separate"/>
          </w:r>
          <w:r>
            <w:rPr>
              <w:rFonts w:ascii="Times New Roman" w:hAnsi="Times New Roman" w:eastAsia="黑体" w:cs="Times New Roman"/>
              <w:sz w:val="32"/>
              <w:szCs w:val="32"/>
            </w:rPr>
            <w:t>第三章 建设功能完备品质城区</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_Toc15678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24</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"_Toc1007" </w:instrText>
          </w:r>
          <w:r>
            <w:fldChar w:fldCharType="separate"/>
          </w:r>
          <w:r>
            <w:rPr>
              <w:rFonts w:ascii="Times New Roman" w:hAnsi="Times New Roman" w:eastAsia="楷体" w:cs="Times New Roman"/>
              <w:sz w:val="32"/>
              <w:szCs w:val="32"/>
            </w:rPr>
            <w:t>第一节 优化空间发展布局</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_Toc1007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24</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"_Toc21403" </w:instrText>
          </w:r>
          <w:r>
            <w:fldChar w:fldCharType="separate"/>
          </w:r>
          <w:r>
            <w:rPr>
              <w:rFonts w:ascii="Times New Roman" w:hAnsi="Times New Roman" w:eastAsia="楷体" w:cs="Times New Roman"/>
              <w:sz w:val="32"/>
              <w:szCs w:val="32"/>
            </w:rPr>
            <w:t>第二节 稳步推进空间融合</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_Toc21403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25</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"_Toc5641" </w:instrText>
          </w:r>
          <w:r>
            <w:fldChar w:fldCharType="separate"/>
          </w:r>
          <w:r>
            <w:rPr>
              <w:rFonts w:ascii="Times New Roman" w:hAnsi="Times New Roman" w:eastAsia="楷体" w:cs="Times New Roman"/>
              <w:sz w:val="32"/>
              <w:szCs w:val="32"/>
            </w:rPr>
            <w:t>第三节 统筹加快城市更新</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_Toc5641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"_Toc9306" </w:instrText>
          </w:r>
          <w:r>
            <w:fldChar w:fldCharType="separate"/>
          </w:r>
          <w:r>
            <w:rPr>
              <w:rFonts w:ascii="Times New Roman" w:hAnsi="Times New Roman" w:eastAsia="楷体" w:cs="Times New Roman"/>
              <w:sz w:val="32"/>
              <w:szCs w:val="32"/>
            </w:rPr>
            <w:t>一、城市功能品质提升</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_Toc9306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"_Toc31433" </w:instrText>
          </w:r>
          <w:r>
            <w:fldChar w:fldCharType="separate"/>
          </w:r>
          <w:r>
            <w:rPr>
              <w:rFonts w:ascii="Times New Roman" w:hAnsi="Times New Roman" w:eastAsia="楷体" w:cs="Times New Roman"/>
              <w:sz w:val="32"/>
              <w:szCs w:val="32"/>
            </w:rPr>
            <w:t>二、城市公共服务优化</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_Toc31433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29</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"_Toc11469" </w:instrText>
          </w:r>
          <w:r>
            <w:fldChar w:fldCharType="separate"/>
          </w:r>
          <w:r>
            <w:rPr>
              <w:rFonts w:ascii="Times New Roman" w:hAnsi="Times New Roman" w:eastAsia="楷体" w:cs="Times New Roman"/>
              <w:sz w:val="32"/>
              <w:szCs w:val="32"/>
            </w:rPr>
            <w:t>第四节 持续推进基础设施建设</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_Toc11469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29</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"_Toc2684" </w:instrText>
          </w:r>
          <w:r>
            <w:fldChar w:fldCharType="separate"/>
          </w:r>
          <w:r>
            <w:rPr>
              <w:rFonts w:ascii="Times New Roman" w:hAnsi="Times New Roman" w:eastAsia="楷体" w:cs="Times New Roman"/>
              <w:sz w:val="32"/>
              <w:szCs w:val="32"/>
            </w:rPr>
            <w:t>第五节 务实做好城市创建</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_Toc2684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31</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39"/>
            <w:tabs>
              <w:tab w:val="right" w:leader="dot" w:pos="8306"/>
            </w:tabs>
            <w:spacing w:line="360" w:lineRule="auto"/>
            <w:rPr>
              <w:rFonts w:ascii="Times New Roman" w:hAnsi="Times New Roman" w:eastAsia="黑体" w:cs="Times New Roman"/>
              <w:sz w:val="32"/>
              <w:szCs w:val="32"/>
            </w:rPr>
          </w:pPr>
          <w:r>
            <w:fldChar w:fldCharType="begin"/>
          </w:r>
          <w:r>
            <w:instrText xml:space="preserve"> HYPERLINK \l "_Toc6953" </w:instrText>
          </w:r>
          <w:r>
            <w:fldChar w:fldCharType="separate"/>
          </w:r>
          <w:r>
            <w:rPr>
              <w:rFonts w:ascii="Times New Roman" w:hAnsi="Times New Roman" w:eastAsia="黑体" w:cs="Times New Roman"/>
              <w:sz w:val="32"/>
              <w:szCs w:val="32"/>
            </w:rPr>
            <w:t>第四章 建设碧水蓝天生态城区</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_Toc6953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32</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"_Toc7459" </w:instrText>
          </w:r>
          <w:r>
            <w:fldChar w:fldCharType="separate"/>
          </w:r>
          <w:r>
            <w:rPr>
              <w:rFonts w:ascii="Times New Roman" w:hAnsi="Times New Roman" w:eastAsia="楷体" w:cs="Times New Roman"/>
              <w:sz w:val="32"/>
              <w:szCs w:val="32"/>
            </w:rPr>
            <w:t>第一节 严格落实生态环境保护制度</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_Toc7459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32</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"_Toc10149" </w:instrText>
          </w:r>
          <w:r>
            <w:fldChar w:fldCharType="separate"/>
          </w:r>
          <w:r>
            <w:rPr>
              <w:rFonts w:ascii="Times New Roman" w:hAnsi="Times New Roman" w:eastAsia="楷体" w:cs="Times New Roman"/>
              <w:sz w:val="32"/>
              <w:szCs w:val="32"/>
            </w:rPr>
            <w:t>第二节 稳步推进生态环境保护与修复</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_Toc10149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33</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"_Toc4482" </w:instrText>
          </w:r>
          <w:r>
            <w:fldChar w:fldCharType="separate"/>
          </w:r>
          <w:r>
            <w:rPr>
              <w:rFonts w:ascii="Times New Roman" w:hAnsi="Times New Roman" w:eastAsia="楷体" w:cs="Times New Roman"/>
              <w:sz w:val="32"/>
              <w:szCs w:val="32"/>
            </w:rPr>
            <w:t>第三节 打造现代绿色宜居城市样板</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_Toc4482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35</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39"/>
            <w:tabs>
              <w:tab w:val="right" w:leader="dot" w:pos="8306"/>
            </w:tabs>
            <w:spacing w:line="360" w:lineRule="auto"/>
            <w:rPr>
              <w:rFonts w:ascii="Times New Roman" w:hAnsi="Times New Roman" w:eastAsia="楷体" w:cs="Times New Roman"/>
              <w:sz w:val="32"/>
              <w:szCs w:val="32"/>
            </w:rPr>
          </w:pPr>
          <w:r>
            <w:fldChar w:fldCharType="begin"/>
          </w:r>
          <w:r>
            <w:instrText xml:space="preserve"> HYPERLINK \l "_Toc18354" </w:instrText>
          </w:r>
          <w:r>
            <w:fldChar w:fldCharType="separate"/>
          </w:r>
          <w:r>
            <w:rPr>
              <w:rFonts w:ascii="Times New Roman" w:hAnsi="Times New Roman" w:eastAsia="黑体" w:cs="Times New Roman"/>
              <w:sz w:val="32"/>
              <w:szCs w:val="32"/>
            </w:rPr>
            <w:t>第五章 建设共建共享幸福城区</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_Toc18354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36</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"_Toc23039" </w:instrText>
          </w:r>
          <w:r>
            <w:fldChar w:fldCharType="separate"/>
          </w:r>
          <w:r>
            <w:rPr>
              <w:rFonts w:ascii="Times New Roman" w:hAnsi="Times New Roman" w:eastAsia="楷体" w:cs="Times New Roman"/>
              <w:sz w:val="32"/>
              <w:szCs w:val="32"/>
            </w:rPr>
            <w:t>第一节 巩固完善城市民生保障措施</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_Toc23039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36</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"_Toc5104" </w:instrText>
          </w:r>
          <w:r>
            <w:fldChar w:fldCharType="separate"/>
          </w:r>
          <w:r>
            <w:rPr>
              <w:rFonts w:ascii="Times New Roman" w:hAnsi="Times New Roman" w:eastAsia="楷体" w:cs="Times New Roman"/>
              <w:sz w:val="32"/>
              <w:szCs w:val="32"/>
            </w:rPr>
            <w:t>一、强化高品质医疗健康</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_Toc5104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36</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"_Toc9538" </w:instrText>
          </w:r>
          <w:r>
            <w:fldChar w:fldCharType="separate"/>
          </w:r>
          <w:r>
            <w:rPr>
              <w:rFonts w:ascii="Times New Roman" w:hAnsi="Times New Roman" w:eastAsia="楷体" w:cs="Times New Roman"/>
              <w:sz w:val="32"/>
              <w:szCs w:val="32"/>
            </w:rPr>
            <w:t>二、落实高层次就业优先</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_Toc9538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"_Toc16073" </w:instrText>
          </w:r>
          <w:r>
            <w:fldChar w:fldCharType="separate"/>
          </w:r>
          <w:r>
            <w:rPr>
              <w:rFonts w:ascii="Times New Roman" w:hAnsi="Times New Roman" w:eastAsia="楷体" w:cs="Times New Roman"/>
              <w:sz w:val="32"/>
              <w:szCs w:val="32"/>
            </w:rPr>
            <w:t>三、提升高水平教育保障</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_Toc16073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38</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"_Toc10474" </w:instrText>
          </w:r>
          <w:r>
            <w:fldChar w:fldCharType="separate"/>
          </w:r>
          <w:r>
            <w:rPr>
              <w:rFonts w:ascii="Times New Roman" w:hAnsi="Times New Roman" w:eastAsia="楷体" w:cs="Times New Roman"/>
              <w:sz w:val="32"/>
              <w:szCs w:val="32"/>
            </w:rPr>
            <w:t>四、夯实高质量社会保障</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_Toc10474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39</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"_Toc10455" </w:instrText>
          </w:r>
          <w:r>
            <w:fldChar w:fldCharType="separate"/>
          </w:r>
          <w:r>
            <w:rPr>
              <w:rFonts w:ascii="Times New Roman" w:hAnsi="Times New Roman" w:eastAsia="楷体" w:cs="Times New Roman"/>
              <w:sz w:val="32"/>
              <w:szCs w:val="32"/>
            </w:rPr>
            <w:t>五、推进高程度居家养老</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_Toc10455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40</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"_Toc1749" </w:instrText>
          </w:r>
          <w:r>
            <w:fldChar w:fldCharType="separate"/>
          </w:r>
          <w:r>
            <w:rPr>
              <w:rFonts w:ascii="Times New Roman" w:hAnsi="Times New Roman" w:eastAsia="楷体" w:cs="Times New Roman"/>
              <w:sz w:val="32"/>
              <w:szCs w:val="32"/>
            </w:rPr>
            <w:t>第二节 大力实行文化素质提升工程</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_Toc1749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41</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39"/>
            <w:tabs>
              <w:tab w:val="right" w:leader="dot" w:pos="8306"/>
            </w:tabs>
            <w:spacing w:line="360" w:lineRule="auto"/>
            <w:rPr>
              <w:rFonts w:ascii="Times New Roman" w:hAnsi="Times New Roman" w:eastAsia="黑体" w:cs="Times New Roman"/>
              <w:sz w:val="32"/>
              <w:szCs w:val="32"/>
            </w:rPr>
          </w:pPr>
          <w:r>
            <w:fldChar w:fldCharType="begin"/>
          </w:r>
          <w:r>
            <w:instrText xml:space="preserve"> HYPERLINK \l "_Toc18812" </w:instrText>
          </w:r>
          <w:r>
            <w:fldChar w:fldCharType="separate"/>
          </w:r>
          <w:r>
            <w:rPr>
              <w:rFonts w:ascii="Times New Roman" w:hAnsi="Times New Roman" w:eastAsia="黑体" w:cs="Times New Roman"/>
              <w:sz w:val="32"/>
              <w:szCs w:val="32"/>
            </w:rPr>
            <w:t>第六章 打造治理高效和谐城区</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_Toc18812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43</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"_Toc18898" </w:instrText>
          </w:r>
          <w:r>
            <w:fldChar w:fldCharType="separate"/>
          </w:r>
          <w:r>
            <w:rPr>
              <w:rFonts w:ascii="Times New Roman" w:hAnsi="Times New Roman" w:eastAsia="楷体" w:cs="Times New Roman"/>
              <w:sz w:val="32"/>
              <w:szCs w:val="32"/>
            </w:rPr>
            <w:t>第一节 推进基层党组织建设</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_Toc18898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43</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"_Toc5473" </w:instrText>
          </w:r>
          <w:r>
            <w:fldChar w:fldCharType="separate"/>
          </w:r>
          <w:r>
            <w:rPr>
              <w:rFonts w:ascii="Times New Roman" w:hAnsi="Times New Roman" w:eastAsia="楷体" w:cs="Times New Roman"/>
              <w:sz w:val="32"/>
              <w:szCs w:val="32"/>
            </w:rPr>
            <w:t>第二节 创新基层治理模式</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_Toc5473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44</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"_Toc7347" </w:instrText>
          </w:r>
          <w:r>
            <w:fldChar w:fldCharType="separate"/>
          </w:r>
          <w:r>
            <w:rPr>
              <w:rFonts w:ascii="Times New Roman" w:hAnsi="Times New Roman" w:eastAsia="楷体" w:cs="Times New Roman"/>
              <w:sz w:val="32"/>
              <w:szCs w:val="32"/>
            </w:rPr>
            <w:t>第三节 推进法治东岳路街办建设</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_Toc7347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44</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"_Toc6574" </w:instrText>
          </w:r>
          <w:r>
            <w:fldChar w:fldCharType="separate"/>
          </w:r>
          <w:r>
            <w:rPr>
              <w:rFonts w:ascii="Times New Roman" w:hAnsi="Times New Roman" w:eastAsia="楷体" w:cs="Times New Roman"/>
              <w:sz w:val="32"/>
              <w:szCs w:val="32"/>
            </w:rPr>
            <w:t>第四节 推进平安东岳路街办建设</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_Toc6574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45</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0"/>
            <w:tabs>
              <w:tab w:val="right" w:leader="dot" w:pos="8306"/>
            </w:tabs>
            <w:spacing w:line="360" w:lineRule="auto"/>
            <w:ind w:left="640"/>
            <w:rPr>
              <w:rFonts w:ascii="Times New Roman" w:hAnsi="Times New Roman" w:eastAsia="楷体" w:cs="Times New Roman"/>
              <w:sz w:val="32"/>
              <w:szCs w:val="32"/>
            </w:rPr>
          </w:pPr>
          <w:r>
            <w:fldChar w:fldCharType="begin"/>
          </w:r>
          <w:r>
            <w:instrText xml:space="preserve"> HYPERLINK \l "_Toc14104" </w:instrText>
          </w:r>
          <w:r>
            <w:fldChar w:fldCharType="separate"/>
          </w:r>
          <w:r>
            <w:rPr>
              <w:rFonts w:ascii="Times New Roman" w:hAnsi="Times New Roman" w:eastAsia="楷体" w:cs="Times New Roman"/>
              <w:sz w:val="32"/>
              <w:szCs w:val="32"/>
            </w:rPr>
            <w:t>第五节 推进信用东岳路街办建设</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_Toc14104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46</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39"/>
            <w:tabs>
              <w:tab w:val="right" w:leader="dot" w:pos="8306"/>
            </w:tabs>
            <w:spacing w:line="360" w:lineRule="auto"/>
            <w:rPr>
              <w:rFonts w:ascii="Times New Roman" w:hAnsi="Times New Roman" w:eastAsia="楷体" w:cs="Times New Roman"/>
              <w:sz w:val="32"/>
              <w:szCs w:val="32"/>
            </w:rPr>
          </w:pPr>
          <w:r>
            <w:fldChar w:fldCharType="begin"/>
          </w:r>
          <w:r>
            <w:instrText xml:space="preserve"> HYPERLINK \l "_Toc31289" </w:instrText>
          </w:r>
          <w:r>
            <w:fldChar w:fldCharType="separate"/>
          </w:r>
          <w:r>
            <w:rPr>
              <w:rFonts w:ascii="Times New Roman" w:hAnsi="Times New Roman" w:eastAsia="黑体" w:cs="Times New Roman"/>
              <w:sz w:val="32"/>
              <w:szCs w:val="32"/>
            </w:rPr>
            <w:t>第七章 夯实实施保障措施</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_Toc31289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47</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"_Toc5483" </w:instrText>
          </w:r>
          <w:r>
            <w:fldChar w:fldCharType="separate"/>
          </w:r>
          <w:r>
            <w:rPr>
              <w:rFonts w:ascii="Times New Roman" w:hAnsi="Times New Roman" w:eastAsia="楷体" w:cs="Times New Roman"/>
              <w:sz w:val="32"/>
              <w:szCs w:val="32"/>
            </w:rPr>
            <w:t>一、加强党的领导</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_Toc5483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"_Toc12802" </w:instrText>
          </w:r>
          <w:r>
            <w:fldChar w:fldCharType="separate"/>
          </w:r>
          <w:r>
            <w:rPr>
              <w:rFonts w:ascii="Times New Roman" w:hAnsi="Times New Roman" w:eastAsia="楷体" w:cs="Times New Roman"/>
              <w:sz w:val="32"/>
              <w:szCs w:val="32"/>
            </w:rPr>
            <w:t>二、加强组织实施</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_Toc12802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"_Toc32230" </w:instrText>
          </w:r>
          <w:r>
            <w:fldChar w:fldCharType="separate"/>
          </w:r>
          <w:r>
            <w:rPr>
              <w:rFonts w:ascii="Times New Roman" w:hAnsi="Times New Roman" w:eastAsia="楷体" w:cs="Times New Roman"/>
              <w:sz w:val="32"/>
              <w:szCs w:val="32"/>
            </w:rPr>
            <w:t>三、加强资金保障</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_Toc32230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48</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"_Toc12466" </w:instrText>
          </w:r>
          <w:r>
            <w:fldChar w:fldCharType="separate"/>
          </w:r>
          <w:r>
            <w:rPr>
              <w:rFonts w:ascii="Times New Roman" w:hAnsi="Times New Roman" w:eastAsia="楷体" w:cs="Times New Roman"/>
              <w:sz w:val="32"/>
              <w:szCs w:val="32"/>
            </w:rPr>
            <w:t>四、调动全社会积极性</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_Toc12466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48</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48"/>
            <w:tabs>
              <w:tab w:val="right" w:leader="dot" w:pos="8306"/>
            </w:tabs>
            <w:spacing w:line="360" w:lineRule="auto"/>
            <w:ind w:left="1280"/>
            <w:rPr>
              <w:rFonts w:ascii="Times New Roman" w:hAnsi="Times New Roman" w:eastAsia="楷体" w:cs="Times New Roman"/>
              <w:sz w:val="32"/>
              <w:szCs w:val="32"/>
            </w:rPr>
          </w:pPr>
          <w:r>
            <w:fldChar w:fldCharType="begin"/>
          </w:r>
          <w:r>
            <w:instrText xml:space="preserve"> HYPERLINK \l "_Toc8856" </w:instrText>
          </w:r>
          <w:r>
            <w:fldChar w:fldCharType="separate"/>
          </w:r>
          <w:r>
            <w:rPr>
              <w:rFonts w:ascii="Times New Roman" w:hAnsi="Times New Roman" w:eastAsia="楷体" w:cs="Times New Roman"/>
              <w:sz w:val="32"/>
              <w:szCs w:val="32"/>
            </w:rPr>
            <w:t>五、加强项目支撑</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_Toc8856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49</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39"/>
            <w:tabs>
              <w:tab w:val="right" w:leader="dot" w:pos="8306"/>
            </w:tabs>
            <w:spacing w:line="360" w:lineRule="auto"/>
            <w:rPr>
              <w:rFonts w:ascii="Times New Roman" w:hAnsi="Times New Roman" w:eastAsia="楷体" w:cs="Times New Roman"/>
              <w:sz w:val="32"/>
              <w:szCs w:val="32"/>
            </w:rPr>
          </w:pPr>
          <w:r>
            <w:fldChar w:fldCharType="begin"/>
          </w:r>
          <w:r>
            <w:instrText xml:space="preserve"> HYPERLINK \l "_Toc1275" </w:instrText>
          </w:r>
          <w:r>
            <w:fldChar w:fldCharType="separate"/>
          </w:r>
          <w:r>
            <w:rPr>
              <w:rFonts w:ascii="Times New Roman" w:hAnsi="Times New Roman" w:eastAsia="黑体" w:cs="Times New Roman"/>
              <w:sz w:val="32"/>
              <w:szCs w:val="32"/>
            </w:rPr>
            <w:t>附件：东岳路街道办事处国民经济和社会发展第十四个五年规划项目库</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_Toc1275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50</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rPr>
              <w:color w:val="auto"/>
            </w:rPr>
          </w:pPr>
          <w:r>
            <w:rPr>
              <w:rFonts w:eastAsia="楷体"/>
              <w:color w:val="auto"/>
              <w:szCs w:val="32"/>
            </w:rPr>
            <w:fldChar w:fldCharType="end"/>
          </w:r>
        </w:p>
      </w:sdtContent>
    </w:sdt>
    <w:p>
      <w:pPr>
        <w:rPr>
          <w:color w:val="auto"/>
        </w:rPr>
      </w:pPr>
    </w:p>
    <w:p>
      <w:pPr>
        <w:tabs>
          <w:tab w:val="left" w:pos="6084"/>
        </w:tabs>
        <w:ind w:firstLine="562"/>
        <w:rPr>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upperRoman" w:start="1"/>
          <w:cols w:space="425" w:num="1"/>
          <w:docGrid w:type="lines" w:linePitch="435" w:charSpace="0"/>
        </w:sectPr>
      </w:pPr>
      <w:r>
        <w:rPr>
          <w:b/>
          <w:bCs/>
          <w:color w:val="auto"/>
          <w:sz w:val="28"/>
          <w:szCs w:val="28"/>
          <w:lang w:val="zh-CN"/>
        </w:rPr>
        <w:tab/>
      </w:r>
      <w:r>
        <w:rPr>
          <w:color w:val="auto"/>
        </w:rPr>
        <w:tab/>
      </w:r>
    </w:p>
    <w:p>
      <w:pPr>
        <w:rPr>
          <w:color w:val="auto"/>
        </w:rPr>
      </w:pPr>
      <w:bookmarkStart w:id="0" w:name="_Toc57763998"/>
      <w:bookmarkStart w:id="1" w:name="_Toc55853253"/>
      <w:bookmarkStart w:id="2" w:name="_Hlk60297841"/>
      <w:bookmarkStart w:id="3" w:name="_Toc57764003"/>
      <w:bookmarkStart w:id="4" w:name="_Toc57764007"/>
      <w:r>
        <w:rPr>
          <w:color w:val="auto"/>
        </w:rPr>
        <w:t>“</w:t>
      </w:r>
      <w:r>
        <w:rPr>
          <w:rFonts w:hint="eastAsia"/>
          <w:color w:val="auto"/>
        </w:rPr>
        <w:t>十四五</w:t>
      </w:r>
      <w:r>
        <w:rPr>
          <w:color w:val="auto"/>
        </w:rPr>
        <w:t>”</w:t>
      </w:r>
      <w:r>
        <w:rPr>
          <w:rFonts w:hint="eastAsia"/>
          <w:color w:val="auto"/>
        </w:rPr>
        <w:t>时期，是我国全面建成小康社会之后开启全面建设社会主义现代化国家新征程的第一个五年，是湖北省推进疫后重振、实现浴火重生、奋力谱写新时代高质量发展新篇章的关键时期，也是大冶市持续转型再深化、综合实力再提升、</w:t>
      </w:r>
      <w:r>
        <w:rPr>
          <w:rFonts w:hint="eastAsia"/>
          <w:color w:val="auto"/>
          <w:kern w:val="0"/>
          <w:szCs w:val="32"/>
        </w:rPr>
        <w:t>加快推进社会主义现代化强市建设</w:t>
      </w:r>
      <w:r>
        <w:rPr>
          <w:rFonts w:hint="eastAsia"/>
          <w:color w:val="auto"/>
        </w:rPr>
        <w:t>的攻坚时期。科学编制并有效实施《东岳路街道办事处国民经济和社会发展第十四个五年规划》，对于巩固全面建成小康社会成果，催生新发展动能，激发新发展活力，保障和改善民生，支撑“三个大冶</w:t>
      </w:r>
      <w:r>
        <w:rPr>
          <w:rFonts w:hint="eastAsia"/>
          <w:color w:val="auto"/>
          <w:kern w:val="0"/>
          <w:szCs w:val="32"/>
        </w:rPr>
        <w:t>”建设</w:t>
      </w:r>
      <w:r>
        <w:rPr>
          <w:rFonts w:hint="eastAsia"/>
          <w:color w:val="auto"/>
        </w:rPr>
        <w:t>意义重大。东岳路街道办事处作为大冶市中心城区和政治经济中心，必须加快适应大变局新形势、积极抢抓新征程新机遇、牢牢把握新发展理念，锐意进取、创新突破、奋力开创高质量发展新局面。</w:t>
      </w:r>
    </w:p>
    <w:p>
      <w:pPr>
        <w:pStyle w:val="2"/>
        <w:jc w:val="center"/>
        <w:rPr>
          <w:color w:val="auto"/>
        </w:rPr>
      </w:pPr>
      <w:bookmarkStart w:id="5" w:name="_Toc17515"/>
      <w:bookmarkStart w:id="6" w:name="_Toc3941"/>
      <w:r>
        <w:rPr>
          <w:rFonts w:hint="eastAsia"/>
          <w:color w:val="auto"/>
        </w:rPr>
        <w:t xml:space="preserve">第一章 </w:t>
      </w:r>
      <w:r>
        <w:rPr>
          <w:color w:val="auto"/>
        </w:rPr>
        <w:t>全面</w:t>
      </w:r>
      <w:bookmarkEnd w:id="0"/>
      <w:r>
        <w:rPr>
          <w:rFonts w:hint="eastAsia"/>
          <w:color w:val="auto"/>
        </w:rPr>
        <w:t>进入新发展阶段</w:t>
      </w:r>
      <w:bookmarkEnd w:id="5"/>
      <w:bookmarkEnd w:id="6"/>
    </w:p>
    <w:p>
      <w:pPr>
        <w:pStyle w:val="3"/>
        <w:jc w:val="center"/>
        <w:rPr>
          <w:rFonts w:cs="Times New Roman"/>
          <w:color w:val="auto"/>
        </w:rPr>
      </w:pPr>
      <w:bookmarkStart w:id="7" w:name="_Toc57763999"/>
      <w:bookmarkStart w:id="8" w:name="_Toc720"/>
      <w:bookmarkStart w:id="9" w:name="_Toc7984"/>
      <w:r>
        <w:rPr>
          <w:rFonts w:cs="Times New Roman"/>
          <w:color w:val="auto"/>
        </w:rPr>
        <w:t>第一节 “十三五”发展成就</w:t>
      </w:r>
      <w:bookmarkEnd w:id="7"/>
      <w:bookmarkEnd w:id="8"/>
      <w:bookmarkEnd w:id="9"/>
    </w:p>
    <w:p>
      <w:pPr>
        <w:rPr>
          <w:color w:val="auto"/>
        </w:rPr>
      </w:pPr>
      <w:r>
        <w:rPr>
          <w:color w:val="auto"/>
        </w:rPr>
        <w:t>“十三五”时期，</w:t>
      </w:r>
      <w:r>
        <w:rPr>
          <w:rFonts w:hint="eastAsia"/>
          <w:color w:val="auto"/>
        </w:rPr>
        <w:t>东岳路街道办事处</w:t>
      </w:r>
      <w:r>
        <w:rPr>
          <w:color w:val="auto"/>
        </w:rPr>
        <w:t>深入贯彻习近平新时代中国特色社会主义思想，</w:t>
      </w:r>
      <w:r>
        <w:rPr>
          <w:rFonts w:hint="eastAsia"/>
          <w:color w:val="auto"/>
        </w:rPr>
        <w:t>落实大冶市</w:t>
      </w:r>
      <w:r>
        <w:rPr>
          <w:rFonts w:eastAsia="仿宋"/>
          <w:color w:val="auto"/>
          <w:szCs w:val="32"/>
        </w:rPr>
        <w:t>建设“三个</w:t>
      </w:r>
      <w:r>
        <w:rPr>
          <w:rFonts w:hint="eastAsia"/>
          <w:color w:val="auto"/>
          <w:szCs w:val="32"/>
        </w:rPr>
        <w:t>大冶”</w:t>
      </w:r>
      <w:r>
        <w:rPr>
          <w:rFonts w:eastAsia="仿宋"/>
          <w:color w:val="auto"/>
          <w:szCs w:val="32"/>
        </w:rPr>
        <w:t>的战略目标</w:t>
      </w:r>
      <w:r>
        <w:rPr>
          <w:rFonts w:hint="eastAsia"/>
          <w:color w:val="auto"/>
        </w:rPr>
        <w:t>，</w:t>
      </w:r>
      <w:r>
        <w:rPr>
          <w:color w:val="auto"/>
        </w:rPr>
        <w:t>以“创新、协调、绿色、开放、共享”新发展理念为指导，</w:t>
      </w:r>
      <w:r>
        <w:rPr>
          <w:rFonts w:hint="eastAsia"/>
          <w:color w:val="auto"/>
        </w:rPr>
        <w:t>坚持稳中求进总基调，</w:t>
      </w:r>
      <w:r>
        <w:rPr>
          <w:color w:val="auto"/>
        </w:rPr>
        <w:t>大力实施“</w:t>
      </w:r>
      <w:r>
        <w:rPr>
          <w:rFonts w:hint="eastAsia"/>
          <w:color w:val="auto"/>
        </w:rPr>
        <w:t>东融、西改、北接、南联</w:t>
      </w:r>
      <w:r>
        <w:rPr>
          <w:color w:val="auto"/>
        </w:rPr>
        <w:t>”发展战略，持续改善民生福祉、率先打赢脱贫攻坚战，不断完善基层治理体系，圆满地完成了“十三五”确定的经济社会发展目标，</w:t>
      </w:r>
      <w:r>
        <w:rPr>
          <w:rFonts w:hint="eastAsia"/>
          <w:color w:val="auto"/>
        </w:rPr>
        <w:t>为“十四五”时期开启全面社会主义现代化建设新征程，奠定了坚实的基础</w:t>
      </w:r>
      <w:r>
        <w:rPr>
          <w:color w:val="auto"/>
        </w:rPr>
        <w:t>。</w:t>
      </w:r>
    </w:p>
    <w:p>
      <w:pPr>
        <w:widowControl/>
        <w:ind w:firstLine="643"/>
        <w:rPr>
          <w:color w:val="auto"/>
        </w:rPr>
      </w:pPr>
      <w:r>
        <w:rPr>
          <w:rFonts w:hint="eastAsia"/>
          <w:b/>
          <w:bCs/>
          <w:color w:val="auto"/>
        </w:rPr>
        <w:t>经济</w:t>
      </w:r>
      <w:r>
        <w:rPr>
          <w:b/>
          <w:bCs/>
          <w:color w:val="auto"/>
        </w:rPr>
        <w:t>实力不断提升</w:t>
      </w:r>
      <w:r>
        <w:rPr>
          <w:color w:val="auto"/>
        </w:rPr>
        <w:t>。“</w:t>
      </w:r>
      <w:r>
        <w:rPr>
          <w:rFonts w:hint="eastAsia"/>
          <w:color w:val="auto"/>
        </w:rPr>
        <w:t>十三五</w:t>
      </w:r>
      <w:r>
        <w:rPr>
          <w:color w:val="auto"/>
        </w:rPr>
        <w:t>”</w:t>
      </w:r>
      <w:r>
        <w:rPr>
          <w:rFonts w:hint="eastAsia"/>
          <w:color w:val="auto"/>
        </w:rPr>
        <w:t>期间，各项经济指标平稳增长，</w:t>
      </w:r>
      <w:r>
        <w:rPr>
          <w:color w:val="auto"/>
        </w:rPr>
        <w:t>2019</w:t>
      </w:r>
      <w:r>
        <w:rPr>
          <w:rFonts w:hint="eastAsia"/>
          <w:color w:val="auto"/>
        </w:rPr>
        <w:t>年，地区生产总值达</w:t>
      </w:r>
      <w:r>
        <w:rPr>
          <w:color w:val="auto"/>
        </w:rPr>
        <w:t>X</w:t>
      </w:r>
      <w:r>
        <w:rPr>
          <w:rFonts w:hint="eastAsia"/>
          <w:color w:val="auto"/>
        </w:rPr>
        <w:t>亿元，完成社会商品零售总额</w:t>
      </w:r>
      <w:r>
        <w:rPr>
          <w:color w:val="auto"/>
        </w:rPr>
        <w:t>36.95</w:t>
      </w:r>
      <w:r>
        <w:rPr>
          <w:rFonts w:hint="eastAsia"/>
          <w:color w:val="auto"/>
        </w:rPr>
        <w:t>亿元，全镇财政收入达</w:t>
      </w:r>
      <w:r>
        <w:rPr>
          <w:color w:val="auto"/>
        </w:rPr>
        <w:t>9.59</w:t>
      </w:r>
      <w:r>
        <w:rPr>
          <w:rFonts w:hint="eastAsia"/>
          <w:color w:val="auto"/>
        </w:rPr>
        <w:t>亿元，较</w:t>
      </w:r>
      <w:r>
        <w:rPr>
          <w:color w:val="auto"/>
        </w:rPr>
        <w:t>“</w:t>
      </w:r>
      <w:r>
        <w:rPr>
          <w:rFonts w:hint="eastAsia"/>
          <w:color w:val="auto"/>
        </w:rPr>
        <w:t>十三五</w:t>
      </w:r>
      <w:r>
        <w:rPr>
          <w:color w:val="auto"/>
        </w:rPr>
        <w:t>”</w:t>
      </w:r>
      <w:r>
        <w:rPr>
          <w:rFonts w:hint="eastAsia"/>
          <w:color w:val="auto"/>
        </w:rPr>
        <w:t>初期分别增长</w:t>
      </w:r>
      <w:r>
        <w:rPr>
          <w:color w:val="auto"/>
        </w:rPr>
        <w:t>X</w:t>
      </w:r>
      <w:r>
        <w:rPr>
          <w:rFonts w:hint="eastAsia"/>
          <w:color w:val="auto"/>
        </w:rPr>
        <w:t>、</w:t>
      </w:r>
      <w:r>
        <w:rPr>
          <w:color w:val="auto"/>
        </w:rPr>
        <w:t>X</w:t>
      </w:r>
      <w:r>
        <w:rPr>
          <w:rFonts w:hint="eastAsia"/>
          <w:color w:val="auto"/>
        </w:rPr>
        <w:t>、</w:t>
      </w:r>
      <w:r>
        <w:rPr>
          <w:color w:val="auto"/>
        </w:rPr>
        <w:t>4.59</w:t>
      </w:r>
      <w:r>
        <w:rPr>
          <w:rFonts w:hint="eastAsia"/>
          <w:color w:val="auto"/>
        </w:rPr>
        <w:t>万元，年均增速</w:t>
      </w:r>
      <w:r>
        <w:rPr>
          <w:color w:val="auto"/>
        </w:rPr>
        <w:t>X</w:t>
      </w:r>
      <w:r>
        <w:rPr>
          <w:rFonts w:hint="eastAsia"/>
          <w:color w:val="auto"/>
        </w:rPr>
        <w:t>、</w:t>
      </w:r>
      <w:r>
        <w:rPr>
          <w:color w:val="auto"/>
        </w:rPr>
        <w:t>X</w:t>
      </w:r>
      <w:r>
        <w:rPr>
          <w:rFonts w:hint="eastAsia"/>
          <w:color w:val="auto"/>
        </w:rPr>
        <w:t>、</w:t>
      </w:r>
      <w:r>
        <w:rPr>
          <w:color w:val="auto"/>
        </w:rPr>
        <w:t>24.3%</w:t>
      </w:r>
      <w:r>
        <w:rPr>
          <w:rFonts w:hint="eastAsia"/>
          <w:color w:val="auto"/>
        </w:rPr>
        <w:t>，远高于大冶市平均水平</w:t>
      </w:r>
      <w:r>
        <w:rPr>
          <w:color w:val="auto"/>
        </w:rPr>
        <w:t>。</w:t>
      </w:r>
    </w:p>
    <w:p>
      <w:pPr>
        <w:ind w:firstLine="643"/>
        <w:rPr>
          <w:color w:val="auto"/>
          <w:w w:val="97"/>
        </w:rPr>
      </w:pPr>
      <w:r>
        <w:rPr>
          <w:rFonts w:hint="eastAsia"/>
          <w:b/>
          <w:color w:val="auto"/>
        </w:rPr>
        <w:t>城区面貌日益改善。</w:t>
      </w:r>
      <w:r>
        <w:rPr>
          <w:rFonts w:hint="eastAsia"/>
          <w:color w:val="auto"/>
        </w:rPr>
        <w:t>扎实推进新型城镇化，辖区内村庄完成向社区转化，城区面貌得到显著改善。</w:t>
      </w:r>
      <w:r>
        <w:rPr>
          <w:b/>
          <w:color w:val="auto"/>
        </w:rPr>
        <w:t>基础设施</w:t>
      </w:r>
      <w:r>
        <w:rPr>
          <w:rFonts w:hint="eastAsia"/>
          <w:b/>
          <w:color w:val="auto"/>
        </w:rPr>
        <w:t>不断更新</w:t>
      </w:r>
      <w:r>
        <w:rPr>
          <w:b/>
          <w:color w:val="auto"/>
        </w:rPr>
        <w:t>完善。</w:t>
      </w:r>
      <w:r>
        <w:rPr>
          <w:rFonts w:hint="eastAsia"/>
          <w:bCs/>
          <w:color w:val="auto"/>
        </w:rPr>
        <w:t>新建</w:t>
      </w:r>
      <w:r>
        <w:rPr>
          <w:rFonts w:hint="eastAsia"/>
          <w:color w:val="auto"/>
        </w:rPr>
        <w:t>中心农贸市场停车场、老人民医院传染病房地块停车场、商城南侧停车场；新建禾鲜生、和德天下农贸市场；全面完成地质巷、裕民路、伍家垅巷、商城路等背街小巷刷黑改造。</w:t>
      </w:r>
      <w:r>
        <w:rPr>
          <w:b/>
          <w:bCs/>
          <w:color w:val="auto"/>
        </w:rPr>
        <w:t>人居环境不断改善</w:t>
      </w:r>
      <w:r>
        <w:rPr>
          <w:color w:val="auto"/>
        </w:rPr>
        <w:t>。</w:t>
      </w:r>
      <w:r>
        <w:rPr>
          <w:color w:val="auto"/>
          <w:w w:val="97"/>
        </w:rPr>
        <w:t>开展人居环境整治行动，</w:t>
      </w:r>
      <w:r>
        <w:rPr>
          <w:rFonts w:hint="eastAsia"/>
          <w:color w:val="auto"/>
          <w:w w:val="97"/>
        </w:rPr>
        <w:t>常态化安排人员依法整治出店经营及沿街贩卖等现象。整改破损招牌、广告牌，消除安全隐患。</w:t>
      </w:r>
      <w:r>
        <w:rPr>
          <w:rFonts w:hint="eastAsia"/>
          <w:color w:val="auto"/>
        </w:rPr>
        <w:t>增强对违法用地的监管力度，按照“属地管理、条块结合、依法行政、应拆尽拆”的原则，围绕违法建设零增长的目标，严厉查处违法建设行为。</w:t>
      </w:r>
      <w:r>
        <w:rPr>
          <w:rFonts w:hint="eastAsia"/>
          <w:b/>
          <w:color w:val="auto"/>
        </w:rPr>
        <w:t>“河湖长制”全面实施。</w:t>
      </w:r>
      <w:r>
        <w:rPr>
          <w:rFonts w:hint="eastAsia"/>
          <w:color w:val="auto"/>
        </w:rPr>
        <w:t>红星湖、尹家湖、三里七湖分别成立了湖泊治理专业队，及时清理岸边垃圾及水上漂浮物，湖泊水质显著提升；分别建立了提升泵站，有效控制溢流口，并对湖边相关违章建筑及养殖大棚进行了拆除，防洪防汛工作得到进一步提升。</w:t>
      </w:r>
    </w:p>
    <w:p>
      <w:pPr>
        <w:ind w:firstLine="643"/>
        <w:rPr>
          <w:rStyle w:val="31"/>
          <w:color w:val="auto"/>
        </w:rPr>
      </w:pPr>
      <w:r>
        <w:rPr>
          <w:rFonts w:hint="eastAsia"/>
          <w:b/>
          <w:color w:val="auto"/>
        </w:rPr>
        <w:t>安全生产保障有力。</w:t>
      </w:r>
      <w:r>
        <w:rPr>
          <w:rFonts w:hint="eastAsia"/>
          <w:color w:val="auto"/>
        </w:rPr>
        <w:t>全面贯彻落实国务院、省、市安全生产工作部署，围绕“四个下降、两个不发生”要求，切实保障安全生产始终处于受控状态。</w:t>
      </w:r>
      <w:r>
        <w:rPr>
          <w:rFonts w:hint="eastAsia"/>
          <w:b/>
          <w:color w:val="auto"/>
        </w:rPr>
        <w:t>安全生产体系不断完善。</w:t>
      </w:r>
      <w:r>
        <w:rPr>
          <w:rFonts w:hint="eastAsia"/>
          <w:color w:val="auto"/>
        </w:rPr>
        <w:t>建立安全生产事故应急救援组织指挥和保障体系，规范安全生产事故应急管理和应急响应程序，及时有效实施应急救援工作，最大程度减少人员伤亡、财产损失和社会危害，维护人民群众生命财产安全和社会稳定。</w:t>
      </w:r>
      <w:r>
        <w:rPr>
          <w:rFonts w:hint="eastAsia"/>
          <w:b/>
          <w:color w:val="auto"/>
        </w:rPr>
        <w:t>安全隐患重点排查。</w:t>
      </w:r>
      <w:r>
        <w:rPr>
          <w:rFonts w:hint="eastAsia"/>
          <w:color w:val="auto"/>
        </w:rPr>
        <w:t>开展安全生产综合大排查大整治行动，坚持“谁检查、谁负责”的原则，做到全覆盖、零死角，把事故扼杀在萌芽状态。对于成品油、建筑领域、高空防坠落、校园安全、汛期房屋排查等领域进行重点专项整治，有效预防了安全事故发生。</w:t>
      </w:r>
      <w:r>
        <w:rPr>
          <w:rFonts w:hint="eastAsia"/>
          <w:b/>
          <w:color w:val="auto"/>
        </w:rPr>
        <w:t>强化安全生产宣传教育。</w:t>
      </w:r>
      <w:r>
        <w:rPr>
          <w:rFonts w:hint="eastAsia"/>
          <w:color w:val="auto"/>
        </w:rPr>
        <w:t>开展“防火减灾宣传活动”“消防安全讲座”“防汛应急疏散演练”“防溺水宣传活动”“企业主体责任宣传活动”等一系列安全知识宣讲活动，提高居民和企业安全防范意识，重大灾害事故发生率不断降低。</w:t>
      </w:r>
    </w:p>
    <w:p>
      <w:pPr>
        <w:ind w:firstLine="643"/>
        <w:rPr>
          <w:color w:val="auto"/>
        </w:rPr>
      </w:pPr>
      <w:r>
        <w:rPr>
          <w:rFonts w:hint="eastAsia"/>
          <w:b/>
          <w:color w:val="auto"/>
        </w:rPr>
        <w:t>创建工作成效显著。</w:t>
      </w:r>
      <w:r>
        <w:rPr>
          <w:rFonts w:hint="eastAsia"/>
          <w:color w:val="auto"/>
        </w:rPr>
        <w:t>建立创建工作常态化管理长效机制，进一步提升市民文明素质和城市文明程度，获评国家级卫生乡镇。</w:t>
      </w:r>
      <w:r>
        <w:rPr>
          <w:rFonts w:hint="eastAsia"/>
          <w:b/>
          <w:color w:val="auto"/>
        </w:rPr>
        <w:t>大力</w:t>
      </w:r>
      <w:r>
        <w:rPr>
          <w:b/>
          <w:color w:val="auto"/>
        </w:rPr>
        <w:t>开展市容环境整治行动。</w:t>
      </w:r>
      <w:r>
        <w:rPr>
          <w:rFonts w:hint="eastAsia"/>
          <w:bCs/>
          <w:color w:val="auto"/>
        </w:rPr>
        <w:t>累计</w:t>
      </w:r>
      <w:r>
        <w:rPr>
          <w:rFonts w:hint="eastAsia"/>
          <w:color w:val="auto"/>
        </w:rPr>
        <w:t>开展城区重点路段环境卫生大清洁、整治行动</w:t>
      </w:r>
      <w:r>
        <w:rPr>
          <w:color w:val="auto"/>
        </w:rPr>
        <w:t>263次，共计</w:t>
      </w:r>
      <w:r>
        <w:rPr>
          <w:rFonts w:hint="eastAsia"/>
          <w:color w:val="auto"/>
        </w:rPr>
        <w:t>参与人数</w:t>
      </w:r>
      <w:r>
        <w:rPr>
          <w:color w:val="auto"/>
        </w:rPr>
        <w:t>7652人</w:t>
      </w:r>
      <w:r>
        <w:rPr>
          <w:rFonts w:hint="eastAsia"/>
          <w:color w:val="auto"/>
        </w:rPr>
        <w:t>次；</w:t>
      </w:r>
      <w:r>
        <w:rPr>
          <w:color w:val="auto"/>
        </w:rPr>
        <w:t>整治废品收购站39家，规范16家，取缔23家。</w:t>
      </w:r>
      <w:r>
        <w:rPr>
          <w:rFonts w:hint="eastAsia"/>
          <w:color w:val="auto"/>
        </w:rPr>
        <w:t>刷黑道路14处，清理牛皮癣3493块，刷白墙面</w:t>
      </w:r>
      <w:r>
        <w:rPr>
          <w:color w:val="auto"/>
        </w:rPr>
        <w:t>18349m</w:t>
      </w:r>
      <w:r>
        <w:rPr>
          <w:color w:val="auto"/>
          <w:vertAlign w:val="superscript"/>
        </w:rPr>
        <w:t>2</w:t>
      </w:r>
      <w:r>
        <w:rPr>
          <w:rFonts w:hint="eastAsia"/>
          <w:color w:val="auto"/>
        </w:rPr>
        <w:t>。完成对永胜村市场、中心农贸市场、伍家垅市场的整治工作，拆除违章建筑、钢构棚等</w:t>
      </w:r>
      <w:r>
        <w:rPr>
          <w:color w:val="auto"/>
        </w:rPr>
        <w:t>162</w:t>
      </w:r>
      <w:r>
        <w:rPr>
          <w:rFonts w:hint="eastAsia"/>
          <w:color w:val="auto"/>
        </w:rPr>
        <w:t>处，规范经营</w:t>
      </w:r>
      <w:r>
        <w:rPr>
          <w:color w:val="auto"/>
        </w:rPr>
        <w:t>500</w:t>
      </w:r>
      <w:r>
        <w:rPr>
          <w:rFonts w:hint="eastAsia"/>
          <w:color w:val="auto"/>
        </w:rPr>
        <w:t>余户，全部取缔了马路市场。</w:t>
      </w:r>
      <w:r>
        <w:rPr>
          <w:rFonts w:hint="eastAsia"/>
          <w:b/>
          <w:color w:val="auto"/>
        </w:rPr>
        <w:t>广泛举办创文创卫主题活动。</w:t>
      </w:r>
      <w:r>
        <w:rPr>
          <w:rFonts w:hint="eastAsia"/>
          <w:color w:val="auto"/>
        </w:rPr>
        <w:t>累计开展《防疫有我，爱卫同行》、“文明祭扫·同心战‘疫’”、“讲文明、去陋习，倡导健康饮食习惯”、“防灾减灾”等各类主题日宣传活动上百次。新建</w:t>
      </w:r>
      <w:r>
        <w:rPr>
          <w:color w:val="auto"/>
        </w:rPr>
        <w:t>8个文明大院、文明长廊</w:t>
      </w:r>
      <w:r>
        <w:rPr>
          <w:rFonts w:hint="eastAsia"/>
          <w:color w:val="auto"/>
        </w:rPr>
        <w:t>，新增公益宣传广告牌926块，绘制保康社区湖滨路“家风家训”文化宣传墙</w:t>
      </w:r>
      <w:r>
        <w:rPr>
          <w:color w:val="auto"/>
        </w:rPr>
        <w:t>1150m</w:t>
      </w:r>
      <w:r>
        <w:rPr>
          <w:rFonts w:hint="eastAsia"/>
          <w:color w:val="auto"/>
        </w:rPr>
        <w:t>。对居民进行教育宣传引领，居民文明程度显著提升。</w:t>
      </w:r>
      <w:r>
        <w:rPr>
          <w:rFonts w:hint="eastAsia"/>
          <w:b/>
          <w:color w:val="auto"/>
        </w:rPr>
        <w:t>常态化推进志愿服务活动。</w:t>
      </w:r>
      <w:r>
        <w:rPr>
          <w:rFonts w:hint="eastAsia"/>
          <w:color w:val="auto"/>
        </w:rPr>
        <w:t>志愿服务队、特色志愿者服务队等组织不断完善，年均开展“关爱空巢老人、留守儿童、困难职工、残疾人”等志愿服务活动上千</w:t>
      </w:r>
      <w:r>
        <w:rPr>
          <w:color w:val="auto"/>
        </w:rPr>
        <w:t>次，服务总时长</w:t>
      </w:r>
      <w:r>
        <w:rPr>
          <w:rFonts w:hint="eastAsia"/>
          <w:color w:val="auto"/>
        </w:rPr>
        <w:t>超十万</w:t>
      </w:r>
      <w:r>
        <w:rPr>
          <w:color w:val="auto"/>
        </w:rPr>
        <w:t>小时。</w:t>
      </w:r>
      <w:r>
        <w:rPr>
          <w:rFonts w:hint="eastAsia"/>
          <w:b/>
          <w:color w:val="auto"/>
        </w:rPr>
        <w:t>深入开展双拥工作。</w:t>
      </w:r>
      <w:r>
        <w:rPr>
          <w:rFonts w:hint="eastAsia"/>
          <w:color w:val="auto"/>
        </w:rPr>
        <w:t>开展以“办实事、解难题、做贡献”为主要内容的双拥共建活动。对155位优抚对象每季度发放优抚金累计60余万元，发放优抚对象“解三难”资金共计3万元。上门安装“光荣之家”牌2589块。不断提升退役军人服务保障水平，努力让军烈属和现役、退役军人拥有更多幸福感、获得感和安全感。助力大冶市成功取得“全国卫生城市”、“全国文明城市”和“全国双拥城市”荣誉称号。</w:t>
      </w:r>
    </w:p>
    <w:p>
      <w:pPr>
        <w:ind w:firstLine="643"/>
        <w:rPr>
          <w:color w:val="auto"/>
          <w:szCs w:val="32"/>
        </w:rPr>
      </w:pPr>
      <w:r>
        <w:rPr>
          <w:b/>
          <w:color w:val="auto"/>
        </w:rPr>
        <w:t>社会事业蓬勃发展。</w:t>
      </w:r>
      <w:r>
        <w:rPr>
          <w:rFonts w:hint="eastAsia"/>
          <w:color w:val="auto"/>
        </w:rPr>
        <w:t>不断增进</w:t>
      </w:r>
      <w:r>
        <w:rPr>
          <w:color w:val="auto"/>
        </w:rPr>
        <w:t>民生福祉，</w:t>
      </w:r>
      <w:r>
        <w:rPr>
          <w:rFonts w:hint="eastAsia"/>
          <w:color w:val="auto"/>
        </w:rPr>
        <w:t>提高</w:t>
      </w:r>
      <w:r>
        <w:rPr>
          <w:color w:val="auto"/>
        </w:rPr>
        <w:t>人民的获得感</w:t>
      </w:r>
      <w:r>
        <w:rPr>
          <w:rFonts w:hint="eastAsia"/>
          <w:color w:val="auto"/>
        </w:rPr>
        <w:t>和</w:t>
      </w:r>
      <w:r>
        <w:rPr>
          <w:color w:val="auto"/>
        </w:rPr>
        <w:t>幸福感。</w:t>
      </w:r>
      <w:r>
        <w:rPr>
          <w:b/>
          <w:color w:val="auto"/>
          <w:szCs w:val="32"/>
        </w:rPr>
        <w:t>就业创业服务保障得力</w:t>
      </w:r>
      <w:r>
        <w:rPr>
          <w:bCs/>
          <w:color w:val="auto"/>
          <w:szCs w:val="32"/>
        </w:rPr>
        <w:t>。</w:t>
      </w:r>
      <w:r>
        <w:rPr>
          <w:rFonts w:hint="eastAsia"/>
          <w:color w:val="auto"/>
        </w:rPr>
        <w:t>着力落实劳动保障惠民政策和目标任务。</w:t>
      </w:r>
      <w:r>
        <w:rPr>
          <w:color w:val="auto"/>
          <w:w w:val="97"/>
        </w:rPr>
        <w:t>深入实施</w:t>
      </w:r>
      <w:r>
        <w:rPr>
          <w:color w:val="auto"/>
        </w:rPr>
        <w:t>就业</w:t>
      </w:r>
      <w:r>
        <w:rPr>
          <w:rFonts w:hint="eastAsia"/>
          <w:color w:val="auto"/>
        </w:rPr>
        <w:t>前培训</w:t>
      </w:r>
      <w:r>
        <w:rPr>
          <w:color w:val="auto"/>
          <w:w w:val="97"/>
        </w:rPr>
        <w:t>、</w:t>
      </w:r>
      <w:r>
        <w:rPr>
          <w:color w:val="auto"/>
        </w:rPr>
        <w:t>再就业培训</w:t>
      </w:r>
      <w:r>
        <w:rPr>
          <w:color w:val="auto"/>
          <w:w w:val="97"/>
        </w:rPr>
        <w:t>、</w:t>
      </w:r>
      <w:r>
        <w:rPr>
          <w:color w:val="auto"/>
        </w:rPr>
        <w:t>创业培训</w:t>
      </w:r>
      <w:r>
        <w:rPr>
          <w:color w:val="auto"/>
          <w:w w:val="97"/>
        </w:rPr>
        <w:t>等，有效促进就业，提高工资性收入</w:t>
      </w:r>
      <w:r>
        <w:rPr>
          <w:rFonts w:hint="eastAsia"/>
          <w:color w:val="auto"/>
        </w:rPr>
        <w:t>，</w:t>
      </w:r>
      <w:r>
        <w:rPr>
          <w:color w:val="auto"/>
        </w:rPr>
        <w:t>组织劳动</w:t>
      </w:r>
      <w:r>
        <w:rPr>
          <w:rFonts w:hint="eastAsia"/>
          <w:color w:val="auto"/>
        </w:rPr>
        <w:t>者技能培训年均超千人。</w:t>
      </w:r>
      <w:r>
        <w:rPr>
          <w:b/>
          <w:bCs/>
          <w:color w:val="auto"/>
        </w:rPr>
        <w:t>教育水平稳步提升</w:t>
      </w:r>
      <w:r>
        <w:rPr>
          <w:rFonts w:hint="eastAsia"/>
          <w:b/>
          <w:bCs/>
          <w:color w:val="auto"/>
        </w:rPr>
        <w:t>。</w:t>
      </w:r>
      <w:r>
        <w:rPr>
          <w:rFonts w:hint="eastAsia"/>
          <w:bCs/>
          <w:color w:val="auto"/>
        </w:rPr>
        <w:t>严格规范</w:t>
      </w:r>
      <w:r>
        <w:rPr>
          <w:rFonts w:hint="eastAsia"/>
          <w:color w:val="auto"/>
        </w:rPr>
        <w:t>民办培训机构及幼儿园</w:t>
      </w:r>
      <w:r>
        <w:rPr>
          <w:rFonts w:hint="eastAsia"/>
          <w:bCs/>
          <w:color w:val="auto"/>
        </w:rPr>
        <w:t>管理</w:t>
      </w:r>
      <w:r>
        <w:rPr>
          <w:rFonts w:hint="eastAsia"/>
          <w:color w:val="auto"/>
        </w:rPr>
        <w:t>，定期进行安全隐患排查，实行“园长负总责，分管领导具体抓”的制度，严抓幼儿园食品安全问题，无重大安全事故发生。幼儿园入学率达98%以上，新增两所公办幼儿园，公办幼儿园入学率不断提升。</w:t>
      </w:r>
      <w:r>
        <w:rPr>
          <w:rFonts w:hint="eastAsia"/>
          <w:b/>
          <w:color w:val="auto"/>
        </w:rPr>
        <w:t>社会保障水平进一步提高。</w:t>
      </w:r>
      <w:r>
        <w:rPr>
          <w:rFonts w:hint="eastAsia"/>
          <w:color w:val="auto"/>
          <w:szCs w:val="32"/>
        </w:rPr>
        <w:t>加强低保规范化管理，健全低保申请审查程序，做到“应保尽保，应退即退”。入户核查</w:t>
      </w:r>
      <w:r>
        <w:rPr>
          <w:color w:val="auto"/>
          <w:szCs w:val="32"/>
        </w:rPr>
        <w:t>416</w:t>
      </w:r>
      <w:r>
        <w:rPr>
          <w:rFonts w:hint="eastAsia"/>
          <w:color w:val="auto"/>
          <w:szCs w:val="32"/>
        </w:rPr>
        <w:t>户，取消</w:t>
      </w:r>
      <w:r>
        <w:rPr>
          <w:color w:val="auto"/>
          <w:szCs w:val="32"/>
        </w:rPr>
        <w:t>54</w:t>
      </w:r>
      <w:r>
        <w:rPr>
          <w:rFonts w:hint="eastAsia"/>
          <w:color w:val="auto"/>
          <w:szCs w:val="32"/>
        </w:rPr>
        <w:t>户，现有低保户数降为</w:t>
      </w:r>
      <w:r>
        <w:rPr>
          <w:color w:val="auto"/>
          <w:szCs w:val="32"/>
        </w:rPr>
        <w:t>362</w:t>
      </w:r>
      <w:r>
        <w:rPr>
          <w:rFonts w:hint="eastAsia"/>
          <w:color w:val="auto"/>
          <w:szCs w:val="32"/>
        </w:rPr>
        <w:t>户，低保标准从</w:t>
      </w:r>
      <w:r>
        <w:rPr>
          <w:color w:val="auto"/>
          <w:szCs w:val="32"/>
        </w:rPr>
        <w:t>540</w:t>
      </w:r>
      <w:r>
        <w:rPr>
          <w:rFonts w:hint="eastAsia"/>
          <w:color w:val="auto"/>
          <w:szCs w:val="32"/>
        </w:rPr>
        <w:t>元</w:t>
      </w:r>
      <w:r>
        <w:rPr>
          <w:color w:val="auto"/>
          <w:szCs w:val="32"/>
        </w:rPr>
        <w:t>/</w:t>
      </w:r>
      <w:r>
        <w:rPr>
          <w:rFonts w:hint="eastAsia"/>
          <w:color w:val="auto"/>
          <w:szCs w:val="32"/>
        </w:rPr>
        <w:t>月提高到</w:t>
      </w:r>
      <w:r>
        <w:rPr>
          <w:color w:val="auto"/>
          <w:szCs w:val="32"/>
        </w:rPr>
        <w:t>675</w:t>
      </w:r>
      <w:r>
        <w:rPr>
          <w:rFonts w:hint="eastAsia"/>
          <w:color w:val="auto"/>
          <w:szCs w:val="32"/>
        </w:rPr>
        <w:t>元</w:t>
      </w:r>
      <w:r>
        <w:rPr>
          <w:color w:val="auto"/>
          <w:szCs w:val="32"/>
        </w:rPr>
        <w:t>/</w:t>
      </w:r>
      <w:r>
        <w:rPr>
          <w:rFonts w:hint="eastAsia"/>
          <w:color w:val="auto"/>
          <w:szCs w:val="32"/>
        </w:rPr>
        <w:t>月。临时救助根据家庭经济情况灵活处理，发放补助金</w:t>
      </w:r>
      <w:r>
        <w:rPr>
          <w:color w:val="auto"/>
          <w:szCs w:val="32"/>
        </w:rPr>
        <w:t>1000</w:t>
      </w:r>
      <w:r>
        <w:rPr>
          <w:rFonts w:hint="eastAsia"/>
          <w:color w:val="auto"/>
          <w:szCs w:val="32"/>
        </w:rPr>
        <w:t>元至</w:t>
      </w:r>
      <w:r>
        <w:rPr>
          <w:color w:val="auto"/>
          <w:szCs w:val="32"/>
        </w:rPr>
        <w:t>2600</w:t>
      </w:r>
      <w:r>
        <w:rPr>
          <w:rFonts w:hint="eastAsia"/>
          <w:color w:val="auto"/>
          <w:szCs w:val="32"/>
        </w:rPr>
        <w:t>元不等。贫困居民生活得到兜底，有效维护了辖区稳定。</w:t>
      </w:r>
      <w:r>
        <w:rPr>
          <w:rFonts w:hint="eastAsia"/>
          <w:b/>
          <w:bCs/>
          <w:color w:val="auto"/>
          <w:szCs w:val="32"/>
        </w:rPr>
        <w:t>文化建设成效显著</w:t>
      </w:r>
      <w:r>
        <w:rPr>
          <w:rFonts w:hint="eastAsia"/>
          <w:b/>
          <w:bCs/>
          <w:color w:val="auto"/>
        </w:rPr>
        <w:t>。</w:t>
      </w:r>
      <w:r>
        <w:rPr>
          <w:rFonts w:hint="eastAsia"/>
          <w:color w:val="auto"/>
        </w:rPr>
        <w:t>以社区居民身心需要为出发点，以社区党员、群众、青少年为载体，以社区居民满意为目标，积极开展了丰富多彩的社区文体活动，举办各类文化体育活动年均十余场，电影下社区活动年均120余场，居民业余生活得到极大丰富，受到了社区居民群众的拥护和称赞。</w:t>
      </w:r>
    </w:p>
    <w:p>
      <w:pPr>
        <w:ind w:firstLine="643"/>
        <w:rPr>
          <w:color w:val="auto"/>
        </w:rPr>
      </w:pPr>
      <w:r>
        <w:rPr>
          <w:rFonts w:hint="eastAsia"/>
          <w:b/>
          <w:color w:val="auto"/>
        </w:rPr>
        <w:t>基层治理成效显著。</w:t>
      </w:r>
      <w:r>
        <w:rPr>
          <w:rFonts w:hint="eastAsia"/>
          <w:color w:val="auto"/>
        </w:rPr>
        <w:t>“党建引领·幸福小区”改革扎实推进，不断完善党领导下的基层治理格局。</w:t>
      </w:r>
      <w:r>
        <w:rPr>
          <w:rFonts w:hint="eastAsia"/>
          <w:b/>
          <w:bCs/>
          <w:color w:val="auto"/>
        </w:rPr>
        <w:t>治理体系和治理能力现代化水平不断提高</w:t>
      </w:r>
      <w:r>
        <w:rPr>
          <w:rFonts w:hint="eastAsia"/>
          <w:color w:val="auto"/>
        </w:rPr>
        <w:t>。健全“社区大党委-小区党支部-楼栋党小组”三级组织架构，成立社区大党委</w:t>
      </w:r>
      <w:r>
        <w:rPr>
          <w:color w:val="auto"/>
        </w:rPr>
        <w:t>15</w:t>
      </w:r>
      <w:r>
        <w:rPr>
          <w:rFonts w:hint="eastAsia"/>
          <w:color w:val="auto"/>
        </w:rPr>
        <w:t>个，成立小区党支部</w:t>
      </w:r>
      <w:r>
        <w:rPr>
          <w:color w:val="auto"/>
        </w:rPr>
        <w:t>108</w:t>
      </w:r>
      <w:r>
        <w:rPr>
          <w:rFonts w:hint="eastAsia"/>
          <w:color w:val="auto"/>
        </w:rPr>
        <w:t>个，选派楼栋党小组长</w:t>
      </w:r>
      <w:r>
        <w:rPr>
          <w:color w:val="auto"/>
        </w:rPr>
        <w:t>473</w:t>
      </w:r>
      <w:r>
        <w:rPr>
          <w:rFonts w:hint="eastAsia"/>
          <w:color w:val="auto"/>
        </w:rPr>
        <w:t>个，成立业委会</w:t>
      </w:r>
      <w:r>
        <w:rPr>
          <w:color w:val="auto"/>
        </w:rPr>
        <w:t>75</w:t>
      </w:r>
      <w:r>
        <w:rPr>
          <w:rFonts w:hint="eastAsia"/>
          <w:color w:val="auto"/>
        </w:rPr>
        <w:t>个，发挥社区“大党委”作用，实现小区“微治理”。推动机关企事业单位和在职党员干部下沉社区常态化，创新性</w:t>
      </w:r>
      <w:r>
        <w:rPr>
          <w:rFonts w:eastAsia="仿宋"/>
          <w:color w:val="auto"/>
          <w:szCs w:val="32"/>
          <w:shd w:val="clear" w:color="auto" w:fill="FFFFFF"/>
        </w:rPr>
        <w:t>实行“两长五员一户”制度</w:t>
      </w:r>
      <w:r>
        <w:rPr>
          <w:rFonts w:hint="eastAsia"/>
          <w:color w:val="auto"/>
        </w:rPr>
        <w:t>，充分发挥“党员干部志愿服务队”作用</w:t>
      </w:r>
      <w:r>
        <w:rPr>
          <w:rFonts w:eastAsia="仿宋"/>
          <w:color w:val="auto"/>
          <w:szCs w:val="32"/>
          <w:shd w:val="clear" w:color="auto" w:fill="FFFFFF"/>
        </w:rPr>
        <w:t>，实现了党组织的全覆盖，确保了下沉党员人人有任务、个个有职责，实现了“小事不出小区，大事不出社区”的治理目标。健全社区法治服务平台，聘请执业律师轮流到社区提供免费法律服务。落实“公安民警进社区”，社区民警兼任社区“两委”，掌握社情民意、开展法律宣传、采录更新信息和化解治安纠纷。</w:t>
      </w:r>
      <w:r>
        <w:rPr>
          <w:rFonts w:hint="eastAsia"/>
          <w:color w:val="auto"/>
        </w:rPr>
        <w:t>实现了各领域治理机构和治理人员的统筹协调，</w:t>
      </w:r>
      <w:r>
        <w:rPr>
          <w:rFonts w:hint="eastAsia"/>
          <w:color w:val="auto"/>
          <w:szCs w:val="32"/>
        </w:rPr>
        <w:t>社会治理重心下移机制不断健全。</w:t>
      </w:r>
      <w:r>
        <w:rPr>
          <w:b/>
          <w:bCs/>
          <w:color w:val="auto"/>
        </w:rPr>
        <w:t>社会治理效能和治理效率显著提高</w:t>
      </w:r>
      <w:r>
        <w:rPr>
          <w:color w:val="auto"/>
        </w:rPr>
        <w:t>。</w:t>
      </w:r>
      <w:r>
        <w:rPr>
          <w:rFonts w:hint="eastAsia"/>
          <w:color w:val="auto"/>
        </w:rPr>
        <w:t>坚持以“平安东岳”建设为目标，通过开展“信访积案化解”矛盾纠纷大排查、大化解活动，按照“三到位一处理”的原则，</w:t>
      </w:r>
      <w:r>
        <w:rPr>
          <w:color w:val="auto"/>
        </w:rPr>
        <w:t>建立健全领导包案、调解预案制度，</w:t>
      </w:r>
      <w:r>
        <w:rPr>
          <w:rFonts w:hint="eastAsia"/>
          <w:color w:val="auto"/>
        </w:rPr>
        <w:t>信访件处置率达100%。</w:t>
      </w:r>
      <w:r>
        <w:rPr>
          <w:color w:val="auto"/>
        </w:rPr>
        <w:t>坚持节假日上门慰问重点信访群体机制，</w:t>
      </w:r>
      <w:r>
        <w:rPr>
          <w:rFonts w:hint="eastAsia"/>
          <w:color w:val="auto"/>
        </w:rPr>
        <w:t>对于重点信访案件积极组织协调，成功化解诸多重大矛盾</w:t>
      </w:r>
      <w:r>
        <w:rPr>
          <w:color w:val="auto"/>
        </w:rPr>
        <w:t>。</w:t>
      </w:r>
      <w:r>
        <w:rPr>
          <w:rFonts w:hint="eastAsia"/>
          <w:color w:val="auto"/>
        </w:rPr>
        <w:t>积极主动配合公安机关开展的扫黑除恶专项整治活动，给各种黑恶势力和违法分子严厉的打击。东岳派出所累计打击涉黑团伙13个，抓获黑恶犯罪嫌疑人114人，破获黑恶案件79起。有力地打击了一批严重危害社会稳定的犯罪分子，净化了社会风气，创造了良好的社会治安环境。</w:t>
      </w:r>
    </w:p>
    <w:p>
      <w:pPr>
        <w:pStyle w:val="3"/>
        <w:jc w:val="center"/>
        <w:rPr>
          <w:rFonts w:cs="Times New Roman"/>
          <w:color w:val="auto"/>
        </w:rPr>
      </w:pPr>
      <w:bookmarkStart w:id="10" w:name="_Toc10741"/>
      <w:bookmarkStart w:id="11" w:name="_Toc16718"/>
      <w:bookmarkStart w:id="12" w:name="_Toc57764000"/>
      <w:r>
        <w:rPr>
          <w:rFonts w:cs="Times New Roman"/>
          <w:color w:val="auto"/>
        </w:rPr>
        <w:t>第二节 面临形势和发展机遇</w:t>
      </w:r>
      <w:bookmarkEnd w:id="10"/>
      <w:bookmarkEnd w:id="11"/>
      <w:bookmarkEnd w:id="12"/>
    </w:p>
    <w:p>
      <w:pPr>
        <w:rPr>
          <w:color w:val="auto"/>
        </w:rPr>
      </w:pPr>
      <w:r>
        <w:rPr>
          <w:color w:val="auto"/>
        </w:rPr>
        <w:t>“</w:t>
      </w:r>
      <w:r>
        <w:rPr>
          <w:rFonts w:hint="eastAsia"/>
          <w:color w:val="auto"/>
        </w:rPr>
        <w:t>十四五</w:t>
      </w:r>
      <w:r>
        <w:rPr>
          <w:color w:val="auto"/>
        </w:rPr>
        <w:t>”</w:t>
      </w:r>
      <w:r>
        <w:rPr>
          <w:rFonts w:hint="eastAsia"/>
          <w:color w:val="auto"/>
        </w:rPr>
        <w:t>时期，世界百年未有之大变局深度演化和我国社会主义现代化建设新征程开局起步相互交融，外部环境和内部条件发生了复杂而深刻的变化，新时期、新阶段东岳路街办</w:t>
      </w:r>
      <w:r>
        <w:rPr>
          <w:color w:val="auto"/>
        </w:rPr>
        <w:t>面临新的机遇和挑战。</w:t>
      </w:r>
    </w:p>
    <w:p>
      <w:pPr>
        <w:pStyle w:val="4"/>
        <w:adjustRightInd w:val="0"/>
        <w:snapToGrid/>
        <w:spacing w:before="0" w:beforeLines="0" w:after="0" w:afterLines="0"/>
        <w:contextualSpacing w:val="0"/>
        <w:rPr>
          <w:rFonts w:ascii="Times New Roman" w:hAnsi="Times New Roman" w:cs="Times New Roman"/>
          <w:color w:val="auto"/>
        </w:rPr>
      </w:pPr>
      <w:bookmarkStart w:id="13" w:name="_Toc28900"/>
      <w:bookmarkStart w:id="14" w:name="_Toc60327515"/>
      <w:bookmarkStart w:id="15" w:name="_Toc60300005"/>
      <w:bookmarkStart w:id="16" w:name="_Toc61625558"/>
      <w:bookmarkStart w:id="17" w:name="_Toc60744800"/>
      <w:bookmarkStart w:id="18" w:name="_Toc10612"/>
      <w:bookmarkStart w:id="19" w:name="_Toc61338249"/>
      <w:r>
        <w:rPr>
          <w:rFonts w:hint="eastAsia" w:ascii="Times New Roman" w:hAnsi="Times New Roman" w:cs="Times New Roman"/>
          <w:color w:val="auto"/>
        </w:rPr>
        <w:t>一</w:t>
      </w:r>
      <w:r>
        <w:rPr>
          <w:rFonts w:ascii="Times New Roman" w:hAnsi="Times New Roman" w:cs="Times New Roman"/>
          <w:color w:val="auto"/>
        </w:rPr>
        <w:t>、</w:t>
      </w:r>
      <w:r>
        <w:rPr>
          <w:rFonts w:hint="eastAsia" w:ascii="Times New Roman" w:hAnsi="Times New Roman" w:cs="Times New Roman"/>
          <w:color w:val="auto"/>
        </w:rPr>
        <w:t>发展机遇</w:t>
      </w:r>
      <w:bookmarkEnd w:id="13"/>
      <w:bookmarkEnd w:id="14"/>
      <w:bookmarkEnd w:id="15"/>
      <w:bookmarkEnd w:id="16"/>
      <w:bookmarkEnd w:id="17"/>
      <w:bookmarkEnd w:id="18"/>
      <w:bookmarkEnd w:id="19"/>
    </w:p>
    <w:p>
      <w:pPr>
        <w:ind w:firstLine="643"/>
        <w:rPr>
          <w:color w:val="auto"/>
        </w:rPr>
      </w:pPr>
      <w:r>
        <w:rPr>
          <w:rFonts w:hint="eastAsia"/>
          <w:b/>
          <w:bCs/>
          <w:color w:val="auto"/>
        </w:rPr>
        <w:t>区域创新带来新红利</w:t>
      </w:r>
      <w:r>
        <w:rPr>
          <w:rFonts w:hint="eastAsia"/>
          <w:color w:val="auto"/>
        </w:rPr>
        <w:t>：</w:t>
      </w:r>
      <w:r>
        <w:rPr>
          <w:color w:val="auto"/>
        </w:rPr>
        <w:t>长江经济带发展、</w:t>
      </w:r>
      <w:r>
        <w:rPr>
          <w:rFonts w:hint="eastAsia"/>
          <w:color w:val="auto"/>
        </w:rPr>
        <w:t>长江中游城市群、</w:t>
      </w:r>
      <w:r>
        <w:rPr>
          <w:color w:val="auto"/>
          <w:szCs w:val="32"/>
        </w:rPr>
        <w:t>促进中部地区崛起、武汉城市圈同城化发展</w:t>
      </w:r>
      <w:r>
        <w:rPr>
          <w:rFonts w:hint="eastAsia"/>
          <w:color w:val="auto"/>
          <w:szCs w:val="32"/>
        </w:rPr>
        <w:t>等区域性</w:t>
      </w:r>
      <w:r>
        <w:rPr>
          <w:color w:val="auto"/>
        </w:rPr>
        <w:t>战略深入推进，</w:t>
      </w:r>
      <w:r>
        <w:rPr>
          <w:color w:val="auto"/>
          <w:szCs w:val="32"/>
        </w:rPr>
        <w:t>光谷科创大走廊及黄石大冶湖高新区</w:t>
      </w:r>
      <w:r>
        <w:rPr>
          <w:color w:val="auto"/>
        </w:rPr>
        <w:t>将</w:t>
      </w:r>
      <w:r>
        <w:rPr>
          <w:color w:val="auto"/>
          <w:szCs w:val="32"/>
        </w:rPr>
        <w:t>为</w:t>
      </w:r>
      <w:r>
        <w:rPr>
          <w:color w:val="auto"/>
        </w:rPr>
        <w:t>进一步带动沿线</w:t>
      </w:r>
      <w:r>
        <w:rPr>
          <w:rFonts w:hint="eastAsia"/>
          <w:color w:val="auto"/>
        </w:rPr>
        <w:t>地区</w:t>
      </w:r>
      <w:r>
        <w:rPr>
          <w:color w:val="auto"/>
        </w:rPr>
        <w:t>的现代产业创新发展</w:t>
      </w:r>
      <w:r>
        <w:rPr>
          <w:rFonts w:hint="eastAsia"/>
          <w:color w:val="auto"/>
        </w:rPr>
        <w:t>，为</w:t>
      </w:r>
      <w:r>
        <w:rPr>
          <w:color w:val="auto"/>
        </w:rPr>
        <w:t>加快</w:t>
      </w:r>
      <w:r>
        <w:rPr>
          <w:color w:val="auto"/>
          <w:szCs w:val="32"/>
        </w:rPr>
        <w:t>构建开放发展新格局</w:t>
      </w:r>
      <w:r>
        <w:rPr>
          <w:color w:val="auto"/>
        </w:rPr>
        <w:t>，实现跨越式发展带来新契机</w:t>
      </w:r>
      <w:r>
        <w:rPr>
          <w:rFonts w:hint="eastAsia"/>
          <w:color w:val="auto"/>
        </w:rPr>
        <w:t>。</w:t>
      </w:r>
    </w:p>
    <w:p>
      <w:pPr>
        <w:ind w:firstLine="643"/>
        <w:rPr>
          <w:color w:val="auto"/>
        </w:rPr>
      </w:pPr>
      <w:r>
        <w:rPr>
          <w:rFonts w:hint="eastAsia"/>
          <w:b/>
          <w:bCs/>
          <w:color w:val="auto"/>
        </w:rPr>
        <w:t>消费升级带来新驱动</w:t>
      </w:r>
      <w:r>
        <w:rPr>
          <w:rFonts w:hint="eastAsia"/>
          <w:color w:val="auto"/>
        </w:rPr>
        <w:t>：《中共湖北省委关于制定全省国民经济和社会发展第十四个五年规划和二〇三五远景目标的建议》中提到，要促进消费扩容升级，顺应消费升级趋势，提升传统消费，培育新型消费，适当增加公共消费，增强消费对经济发展的基础性作用。</w:t>
      </w:r>
      <w:r>
        <w:rPr>
          <w:color w:val="auto"/>
        </w:rPr>
        <w:t>加强高品质商圈建设，结合城市有机更新，</w:t>
      </w:r>
      <w:r>
        <w:rPr>
          <w:rFonts w:hint="eastAsia"/>
          <w:color w:val="auto"/>
        </w:rPr>
        <w:t>改善</w:t>
      </w:r>
      <w:r>
        <w:rPr>
          <w:color w:val="auto"/>
          <w:szCs w:val="32"/>
        </w:rPr>
        <w:t>传统商圈，整体</w:t>
      </w:r>
      <w:r>
        <w:rPr>
          <w:color w:val="auto"/>
        </w:rPr>
        <w:t>改善城市商贸环境</w:t>
      </w:r>
      <w:r>
        <w:rPr>
          <w:color w:val="auto"/>
          <w:szCs w:val="32"/>
        </w:rPr>
        <w:t>消费优化升级和提质扩容，培育壮大新消费、新业态、新模式。</w:t>
      </w:r>
    </w:p>
    <w:p>
      <w:pPr>
        <w:ind w:firstLine="643"/>
        <w:rPr>
          <w:color w:val="auto"/>
        </w:rPr>
      </w:pPr>
      <w:r>
        <w:rPr>
          <w:rFonts w:hint="eastAsia"/>
          <w:b/>
          <w:bCs/>
          <w:color w:val="auto"/>
        </w:rPr>
        <w:t>老旧小区改造带来新面貌</w:t>
      </w:r>
      <w:r>
        <w:rPr>
          <w:rFonts w:hint="eastAsia"/>
          <w:color w:val="auto"/>
        </w:rPr>
        <w:t>：《国务院办公厅关于全面推进城镇老旧小区改造工作的指导意见》要求，到“十四五”期末，结合各地实际，力争在“十四五”期间基本完成</w:t>
      </w:r>
      <w:r>
        <w:rPr>
          <w:color w:val="auto"/>
        </w:rPr>
        <w:t>2000</w:t>
      </w:r>
      <w:r>
        <w:rPr>
          <w:rFonts w:hint="eastAsia"/>
          <w:color w:val="auto"/>
        </w:rPr>
        <w:t>年底前建成的需改造城镇老旧小区改造任务。湖北省、黄石市、大冶市各级政府将城镇老旧小区改造列入政府工作日程，将其作为加快经济复苏的重要途径，建立现代社区居民生活服务体系。</w:t>
      </w:r>
    </w:p>
    <w:p>
      <w:pPr>
        <w:ind w:firstLine="643"/>
        <w:rPr>
          <w:color w:val="auto"/>
        </w:rPr>
      </w:pPr>
      <w:r>
        <w:rPr>
          <w:rFonts w:hint="eastAsia"/>
          <w:b/>
          <w:bCs/>
          <w:color w:val="auto"/>
        </w:rPr>
        <w:t>疫后重振带来新支撑</w:t>
      </w:r>
      <w:r>
        <w:rPr>
          <w:rFonts w:hint="eastAsia"/>
          <w:color w:val="auto"/>
        </w:rPr>
        <w:t>：</w:t>
      </w:r>
      <w:r>
        <w:rPr>
          <w:color w:val="auto"/>
        </w:rPr>
        <w:t>为加快湖北疫后重振，中央推出一揽子支持计划，在就业、财政、税收、金融、脱贫攻坚、重大项目建设等方面予以重大倾斜。湖北省发布《疫后重振补短板强功能“十大工程”三年行动方案(2020—2022年)》，全面实施4572个、总投资达2.3万亿的疫后重振项目。抢抓中央和湖北省政策落地，为</w:t>
      </w:r>
      <w:r>
        <w:rPr>
          <w:rFonts w:hint="eastAsia"/>
          <w:color w:val="auto"/>
        </w:rPr>
        <w:t>东岳路街办</w:t>
      </w:r>
      <w:r>
        <w:rPr>
          <w:color w:val="auto"/>
        </w:rPr>
        <w:t>加快推进经济社会各领域建设，实现复产复兴，创造了难得的政策和发展机遇。</w:t>
      </w:r>
    </w:p>
    <w:p>
      <w:pPr>
        <w:pStyle w:val="4"/>
        <w:adjustRightInd w:val="0"/>
        <w:snapToGrid/>
        <w:spacing w:before="0" w:beforeLines="0" w:after="0" w:afterLines="0"/>
        <w:contextualSpacing w:val="0"/>
        <w:rPr>
          <w:rFonts w:ascii="Times New Roman" w:hAnsi="Times New Roman" w:cs="Times New Roman"/>
          <w:color w:val="auto"/>
        </w:rPr>
      </w:pPr>
      <w:bookmarkStart w:id="20" w:name="_Toc61338250"/>
      <w:bookmarkStart w:id="21" w:name="_Toc60327516"/>
      <w:bookmarkStart w:id="22" w:name="_Toc60300006"/>
      <w:bookmarkStart w:id="23" w:name="_Toc14432"/>
      <w:bookmarkStart w:id="24" w:name="_Toc60744801"/>
      <w:bookmarkStart w:id="25" w:name="_Toc61625559"/>
      <w:bookmarkStart w:id="26" w:name="_Toc16640"/>
      <w:r>
        <w:rPr>
          <w:rFonts w:hint="eastAsia" w:ascii="Times New Roman" w:hAnsi="Times New Roman" w:cs="Times New Roman"/>
          <w:color w:val="auto"/>
        </w:rPr>
        <w:t>二</w:t>
      </w:r>
      <w:r>
        <w:rPr>
          <w:rFonts w:ascii="Times New Roman" w:hAnsi="Times New Roman" w:cs="Times New Roman"/>
          <w:color w:val="auto"/>
        </w:rPr>
        <w:t>、面临挑战</w:t>
      </w:r>
      <w:bookmarkEnd w:id="20"/>
      <w:bookmarkEnd w:id="21"/>
      <w:bookmarkEnd w:id="22"/>
      <w:bookmarkEnd w:id="23"/>
      <w:bookmarkEnd w:id="24"/>
      <w:bookmarkEnd w:id="25"/>
      <w:bookmarkEnd w:id="26"/>
    </w:p>
    <w:p>
      <w:pPr>
        <w:ind w:firstLine="643"/>
        <w:rPr>
          <w:color w:val="auto"/>
        </w:rPr>
      </w:pPr>
      <w:r>
        <w:rPr>
          <w:rFonts w:hint="eastAsia"/>
          <w:b/>
          <w:bCs/>
          <w:color w:val="auto"/>
        </w:rPr>
        <w:t>产业发展质量不高</w:t>
      </w:r>
      <w:r>
        <w:rPr>
          <w:rFonts w:hint="eastAsia"/>
          <w:color w:val="auto"/>
        </w:rPr>
        <w:t>：工业产业占比逐年下降，高新技术企业较少。服务业仍以中低端商贸业为主，</w:t>
      </w:r>
      <w:r>
        <w:rPr>
          <w:rFonts w:hint="eastAsia"/>
          <w:color w:val="auto"/>
          <w:shd w:val="clear" w:color="auto" w:fill="FFFFFF"/>
        </w:rPr>
        <w:t>线上线下融合发展不足，与高新产业融合不足，</w:t>
      </w:r>
      <w:r>
        <w:rPr>
          <w:rFonts w:eastAsia="仿宋"/>
          <w:color w:val="auto"/>
          <w:szCs w:val="32"/>
        </w:rPr>
        <w:t>现代商业、金融、服务业已经趋于饱和，横向发展空间不足</w:t>
      </w:r>
      <w:r>
        <w:rPr>
          <w:rFonts w:hint="eastAsia"/>
          <w:color w:val="auto"/>
          <w:shd w:val="clear" w:color="auto" w:fill="FFFFFF"/>
        </w:rPr>
        <w:t>。</w:t>
      </w:r>
      <w:r>
        <w:rPr>
          <w:color w:val="auto"/>
          <w:shd w:val="clear" w:color="auto" w:fill="FFFFFF"/>
        </w:rPr>
        <w:t>旅游开发投入不足，未形成完整的文化旅游集群，产业关联度仍需增强。</w:t>
      </w:r>
    </w:p>
    <w:p>
      <w:pPr>
        <w:ind w:firstLine="643"/>
        <w:rPr>
          <w:color w:val="auto"/>
        </w:rPr>
      </w:pPr>
      <w:r>
        <w:rPr>
          <w:rFonts w:hint="eastAsia"/>
          <w:b/>
          <w:bCs/>
          <w:color w:val="auto"/>
        </w:rPr>
        <w:t>空间拓展用地不足</w:t>
      </w:r>
      <w:r>
        <w:rPr>
          <w:rFonts w:hint="eastAsia"/>
          <w:color w:val="auto"/>
        </w:rPr>
        <w:t>：城市发展空间不足，城市土地利用低效，难以进行中心城区基础设施的提档升级和城市更新，限制城区的功能拓展。</w:t>
      </w:r>
    </w:p>
    <w:p>
      <w:pPr>
        <w:ind w:firstLine="643"/>
        <w:rPr>
          <w:color w:val="auto"/>
        </w:rPr>
      </w:pPr>
      <w:r>
        <w:rPr>
          <w:rFonts w:hint="eastAsia"/>
          <w:b/>
          <w:bCs/>
          <w:color w:val="auto"/>
        </w:rPr>
        <w:t>城区功能保障不全</w:t>
      </w:r>
      <w:r>
        <w:rPr>
          <w:rFonts w:hint="eastAsia"/>
          <w:color w:val="auto"/>
        </w:rPr>
        <w:t>：城区人口密度高、建筑密度高，停车场、菜市场等设施严重不足。旧城改造面积大，拆迁补偿资金压力、生态压力、政策压力大，旧城改造推进存在困难。</w:t>
      </w:r>
    </w:p>
    <w:p>
      <w:pPr>
        <w:ind w:firstLine="643"/>
        <w:rPr>
          <w:color w:val="auto"/>
        </w:rPr>
      </w:pPr>
      <w:r>
        <w:rPr>
          <w:rFonts w:hint="eastAsia"/>
          <w:b/>
          <w:bCs/>
          <w:color w:val="auto"/>
        </w:rPr>
        <w:t>民生短板仍需补齐</w:t>
      </w:r>
      <w:r>
        <w:rPr>
          <w:rFonts w:hint="eastAsia"/>
          <w:color w:val="auto"/>
        </w:rPr>
        <w:t>：商贸服务业诚信经营投诉问题较多，投诉处理周期长，消费者维权成本高。基层社区压力大，社区人员配备可以进一步优化。</w:t>
      </w:r>
    </w:p>
    <w:p>
      <w:pPr>
        <w:pStyle w:val="3"/>
        <w:jc w:val="center"/>
        <w:rPr>
          <w:rFonts w:cs="Times New Roman"/>
          <w:color w:val="auto"/>
        </w:rPr>
      </w:pPr>
      <w:bookmarkStart w:id="27" w:name="_Toc4608"/>
      <w:bookmarkStart w:id="28" w:name="_Toc57764001"/>
      <w:bookmarkStart w:id="29" w:name="_Toc24275"/>
      <w:r>
        <w:rPr>
          <w:rFonts w:cs="Times New Roman"/>
          <w:color w:val="auto"/>
        </w:rPr>
        <w:t>第三节 总体思路和发展原则</w:t>
      </w:r>
      <w:bookmarkEnd w:id="27"/>
      <w:bookmarkEnd w:id="28"/>
      <w:bookmarkEnd w:id="29"/>
    </w:p>
    <w:p>
      <w:pPr>
        <w:pStyle w:val="4"/>
        <w:adjustRightInd w:val="0"/>
        <w:snapToGrid/>
        <w:spacing w:before="0" w:beforeLines="0" w:after="0" w:afterLines="0"/>
        <w:contextualSpacing w:val="0"/>
        <w:rPr>
          <w:rFonts w:ascii="Times New Roman" w:hAnsi="Times New Roman" w:cs="Times New Roman"/>
          <w:color w:val="auto"/>
        </w:rPr>
      </w:pPr>
      <w:bookmarkStart w:id="30" w:name="_Toc61625561"/>
      <w:bookmarkStart w:id="31" w:name="_Toc60300008"/>
      <w:bookmarkStart w:id="32" w:name="_Toc308"/>
      <w:bookmarkStart w:id="33" w:name="_Toc60327518"/>
      <w:bookmarkStart w:id="34" w:name="_Toc60744803"/>
      <w:bookmarkStart w:id="35" w:name="_Toc61338252"/>
      <w:bookmarkStart w:id="36" w:name="_Toc16259"/>
      <w:r>
        <w:rPr>
          <w:rFonts w:hint="eastAsia" w:ascii="Times New Roman" w:hAnsi="Times New Roman" w:cs="Times New Roman"/>
          <w:color w:val="auto"/>
        </w:rPr>
        <w:t>一</w:t>
      </w:r>
      <w:r>
        <w:rPr>
          <w:rFonts w:ascii="Times New Roman" w:hAnsi="Times New Roman" w:cs="Times New Roman"/>
          <w:color w:val="auto"/>
        </w:rPr>
        <w:t>、总体思路</w:t>
      </w:r>
      <w:bookmarkEnd w:id="30"/>
      <w:bookmarkEnd w:id="31"/>
      <w:bookmarkEnd w:id="32"/>
      <w:bookmarkEnd w:id="33"/>
      <w:bookmarkEnd w:id="34"/>
      <w:bookmarkEnd w:id="35"/>
      <w:bookmarkEnd w:id="36"/>
    </w:p>
    <w:p>
      <w:pPr>
        <w:rPr>
          <w:color w:val="auto"/>
        </w:rPr>
      </w:pPr>
      <w:r>
        <w:rPr>
          <w:color w:val="auto"/>
        </w:rPr>
        <w:t>以习近平新时代中国特色社会主义思想为指导，全面贯彻党的十九大和十九届二中、三中、四中、五中全会精神，系统衔接中央、省、市各级政府对</w:t>
      </w:r>
      <w:r>
        <w:rPr>
          <w:rFonts w:hint="eastAsia"/>
          <w:color w:val="auto"/>
        </w:rPr>
        <w:t>“</w:t>
      </w:r>
      <w:r>
        <w:rPr>
          <w:color w:val="auto"/>
        </w:rPr>
        <w:t>十四五</w:t>
      </w:r>
      <w:r>
        <w:rPr>
          <w:rFonts w:hint="eastAsia"/>
          <w:color w:val="auto"/>
        </w:rPr>
        <w:t>”</w:t>
      </w:r>
      <w:r>
        <w:rPr>
          <w:color w:val="auto"/>
        </w:rPr>
        <w:t>期间的战略部署和总体安排，坚持“</w:t>
      </w:r>
      <w:r>
        <w:rPr>
          <w:rFonts w:hint="eastAsia"/>
          <w:color w:val="auto"/>
        </w:rPr>
        <w:t>东融、西改、北接、南联</w:t>
      </w:r>
      <w:r>
        <w:rPr>
          <w:color w:val="auto"/>
        </w:rPr>
        <w:t>”</w:t>
      </w:r>
      <w:r>
        <w:rPr>
          <w:rFonts w:hint="eastAsia"/>
          <w:color w:val="auto"/>
        </w:rPr>
        <w:t>总体发展战略</w:t>
      </w:r>
      <w:r>
        <w:rPr>
          <w:color w:val="auto"/>
        </w:rPr>
        <w:t>，围绕经济社会高质量发展，以</w:t>
      </w:r>
      <w:r>
        <w:rPr>
          <w:rFonts w:hint="eastAsia"/>
          <w:color w:val="auto"/>
        </w:rPr>
        <w:t>产业提档升级、城市品质提升、生态环境改善、基层治理高效为主线，以重大项目和重点工程建设为抓手，以增进民生福祉为出发点和落脚点，加快构建“</w:t>
      </w:r>
      <w:r>
        <w:rPr>
          <w:color w:val="auto"/>
        </w:rPr>
        <w:t>一心</w:t>
      </w:r>
      <w:r>
        <w:rPr>
          <w:rFonts w:hint="eastAsia"/>
          <w:color w:val="auto"/>
        </w:rPr>
        <w:t>引领，两区支撑，全域共荣”空间发展布局，着力打造现代服务业“三个中心”，持续推进“品质城区、生态城区、幸福城区、和谐城区”建设。</w:t>
      </w:r>
    </w:p>
    <w:p>
      <w:pPr>
        <w:pStyle w:val="4"/>
        <w:adjustRightInd w:val="0"/>
        <w:snapToGrid/>
        <w:spacing w:before="0" w:beforeLines="0" w:after="0" w:afterLines="0"/>
        <w:contextualSpacing w:val="0"/>
        <w:rPr>
          <w:rFonts w:ascii="Times New Roman" w:hAnsi="Times New Roman" w:cs="Times New Roman"/>
          <w:color w:val="auto"/>
        </w:rPr>
      </w:pPr>
      <w:bookmarkStart w:id="37" w:name="_Toc30793"/>
      <w:bookmarkStart w:id="38" w:name="_Toc60744804"/>
      <w:bookmarkStart w:id="39" w:name="_Toc23148"/>
      <w:bookmarkStart w:id="40" w:name="_Toc61625562"/>
      <w:bookmarkStart w:id="41" w:name="_Toc60300009"/>
      <w:bookmarkStart w:id="42" w:name="_Toc60327519"/>
      <w:bookmarkStart w:id="43" w:name="_Toc61338253"/>
      <w:r>
        <w:rPr>
          <w:rFonts w:hint="eastAsia" w:ascii="Times New Roman" w:hAnsi="Times New Roman" w:cs="Times New Roman"/>
          <w:color w:val="auto"/>
        </w:rPr>
        <w:t>二</w:t>
      </w:r>
      <w:r>
        <w:rPr>
          <w:rFonts w:ascii="Times New Roman" w:hAnsi="Times New Roman" w:cs="Times New Roman"/>
          <w:color w:val="auto"/>
        </w:rPr>
        <w:t>、发展原则</w:t>
      </w:r>
      <w:bookmarkEnd w:id="37"/>
      <w:bookmarkEnd w:id="38"/>
      <w:bookmarkEnd w:id="39"/>
      <w:bookmarkEnd w:id="40"/>
      <w:bookmarkEnd w:id="41"/>
      <w:bookmarkEnd w:id="42"/>
      <w:bookmarkEnd w:id="43"/>
    </w:p>
    <w:p>
      <w:pPr>
        <w:ind w:firstLine="643"/>
        <w:rPr>
          <w:color w:val="auto"/>
          <w:kern w:val="0"/>
          <w:szCs w:val="32"/>
          <w:lang w:val="zh-CN"/>
        </w:rPr>
      </w:pPr>
      <w:r>
        <w:rPr>
          <w:rFonts w:hint="eastAsia"/>
          <w:b/>
          <w:color w:val="auto"/>
        </w:rPr>
        <w:t>坚持党的领导，团结凝聚力量</w:t>
      </w:r>
      <w:r>
        <w:rPr>
          <w:b/>
          <w:color w:val="auto"/>
        </w:rPr>
        <w:t>。</w:t>
      </w:r>
      <w:r>
        <w:rPr>
          <w:rFonts w:hint="eastAsia"/>
          <w:bCs/>
          <w:color w:val="auto"/>
        </w:rPr>
        <w:t>坚持党总揽全局、协调各方，发挥党在经济社会工作的领导核心作用，</w:t>
      </w:r>
      <w:r>
        <w:rPr>
          <w:rFonts w:hint="eastAsia"/>
          <w:color w:val="auto"/>
          <w:kern w:val="0"/>
          <w:szCs w:val="32"/>
          <w:lang w:val="zh-CN"/>
        </w:rPr>
        <w:t>最大限度凝聚全社会共识和力量。提高贯彻新发展理念、服务构建新发展格局、推动高质量发展的能力和水平，确保党中央决策部署、省市委工作要求在</w:t>
      </w:r>
      <w:r>
        <w:rPr>
          <w:rFonts w:hint="eastAsia"/>
          <w:color w:val="auto"/>
          <w:kern w:val="0"/>
          <w:szCs w:val="32"/>
        </w:rPr>
        <w:t>东岳</w:t>
      </w:r>
      <w:r>
        <w:rPr>
          <w:rFonts w:hint="eastAsia"/>
          <w:color w:val="auto"/>
          <w:kern w:val="0"/>
          <w:szCs w:val="32"/>
          <w:lang w:val="zh-CN"/>
        </w:rPr>
        <w:t>落地生根。</w:t>
      </w:r>
    </w:p>
    <w:p>
      <w:pPr>
        <w:ind w:firstLine="643"/>
        <w:rPr>
          <w:bCs/>
          <w:color w:val="auto"/>
        </w:rPr>
      </w:pPr>
      <w:r>
        <w:rPr>
          <w:rFonts w:hint="eastAsia"/>
          <w:b/>
          <w:color w:val="auto"/>
        </w:rPr>
        <w:t>坚持系统观念，促进全面提升</w:t>
      </w:r>
      <w:r>
        <w:rPr>
          <w:rFonts w:hint="eastAsia"/>
          <w:bCs/>
          <w:color w:val="auto"/>
        </w:rPr>
        <w:t>。强化前瞻性思考、全局性谋划、战略性布局、整体性推进，着力固根基、扬优势、补短板、强弱项，注重防范化解重大风险挑战，实现发展质量、结构、规模、速度、效益、安全相统一。</w:t>
      </w:r>
    </w:p>
    <w:p>
      <w:pPr>
        <w:ind w:firstLine="643"/>
        <w:rPr>
          <w:color w:val="auto"/>
        </w:rPr>
      </w:pPr>
      <w:r>
        <w:rPr>
          <w:b/>
          <w:color w:val="auto"/>
        </w:rPr>
        <w:t>坚持</w:t>
      </w:r>
      <w:r>
        <w:rPr>
          <w:rFonts w:hint="eastAsia"/>
          <w:b/>
          <w:color w:val="auto"/>
        </w:rPr>
        <w:t>提档升级，推进创新发展</w:t>
      </w:r>
      <w:r>
        <w:rPr>
          <w:rFonts w:hint="eastAsia"/>
          <w:bCs/>
          <w:color w:val="auto"/>
        </w:rPr>
        <w:t>。</w:t>
      </w:r>
      <w:r>
        <w:rPr>
          <w:color w:val="auto"/>
          <w:szCs w:val="32"/>
        </w:rPr>
        <w:t>坚定不移推进</w:t>
      </w:r>
      <w:r>
        <w:rPr>
          <w:rFonts w:hint="eastAsia"/>
          <w:color w:val="auto"/>
          <w:szCs w:val="32"/>
        </w:rPr>
        <w:t>提档</w:t>
      </w:r>
      <w:r>
        <w:rPr>
          <w:color w:val="auto"/>
          <w:szCs w:val="32"/>
        </w:rPr>
        <w:t>升级，高质量发展，加速调结构、换动能、转方式、优布局</w:t>
      </w:r>
      <w:r>
        <w:rPr>
          <w:rFonts w:hint="eastAsia"/>
          <w:color w:val="auto"/>
          <w:szCs w:val="32"/>
        </w:rPr>
        <w:t>。</w:t>
      </w:r>
      <w:r>
        <w:rPr>
          <w:color w:val="auto"/>
        </w:rPr>
        <w:t>全力推进以</w:t>
      </w:r>
      <w:r>
        <w:rPr>
          <w:rFonts w:hint="eastAsia"/>
          <w:color w:val="auto"/>
        </w:rPr>
        <w:t>服务业</w:t>
      </w:r>
      <w:r>
        <w:rPr>
          <w:color w:val="auto"/>
        </w:rPr>
        <w:t>为</w:t>
      </w:r>
      <w:r>
        <w:rPr>
          <w:rFonts w:hint="eastAsia"/>
          <w:color w:val="auto"/>
        </w:rPr>
        <w:t>代表的产业全面</w:t>
      </w:r>
      <w:r>
        <w:rPr>
          <w:color w:val="auto"/>
        </w:rPr>
        <w:t>创新，构筑良好创新创业生态，完善创新体系，推动经济发展质量变革、效率变革、动力变革。</w:t>
      </w:r>
    </w:p>
    <w:p>
      <w:pPr>
        <w:ind w:firstLine="643"/>
        <w:rPr>
          <w:color w:val="auto"/>
        </w:rPr>
      </w:pPr>
      <w:r>
        <w:rPr>
          <w:rFonts w:hint="eastAsia"/>
          <w:b/>
          <w:bCs/>
          <w:color w:val="auto"/>
        </w:rPr>
        <w:t>坚持生态优先，实现绿色发展</w:t>
      </w:r>
      <w:r>
        <w:rPr>
          <w:rFonts w:hint="eastAsia"/>
          <w:b/>
          <w:color w:val="auto"/>
        </w:rPr>
        <w:t>。</w:t>
      </w:r>
      <w:r>
        <w:rPr>
          <w:rFonts w:hint="eastAsia"/>
          <w:color w:val="auto"/>
        </w:rPr>
        <w:t>践行“生态优先、绿色发展”理念，加大生态系统保护力度，打好污染防治攻坚战，实行最严格的生态环境保护制度，严格落实河湖长制，完善绿色发展治理体系。</w:t>
      </w:r>
    </w:p>
    <w:p>
      <w:pPr>
        <w:ind w:firstLine="643"/>
        <w:rPr>
          <w:color w:val="auto"/>
          <w:szCs w:val="32"/>
        </w:rPr>
      </w:pPr>
      <w:r>
        <w:rPr>
          <w:rFonts w:hint="eastAsia"/>
          <w:b/>
          <w:bCs/>
          <w:color w:val="auto"/>
        </w:rPr>
        <w:t>坚持共建共享，增进民生福祉。</w:t>
      </w:r>
      <w:r>
        <w:rPr>
          <w:rFonts w:hint="eastAsia"/>
          <w:color w:val="auto"/>
        </w:rPr>
        <w:t>坚持以人民为中心，</w:t>
      </w:r>
      <w:r>
        <w:rPr>
          <w:color w:val="auto"/>
          <w:szCs w:val="32"/>
        </w:rPr>
        <w:t>始终做到发展为了人民、发展依靠人民。发展成果由人民共享，办好民生实事，补齐民生短板，不断增进民生福祉，朝着共同富裕方向稳步迈进。</w:t>
      </w:r>
    </w:p>
    <w:p>
      <w:pPr>
        <w:pStyle w:val="3"/>
        <w:jc w:val="center"/>
        <w:rPr>
          <w:rFonts w:cs="Times New Roman"/>
          <w:color w:val="auto"/>
        </w:rPr>
      </w:pPr>
      <w:bookmarkStart w:id="44" w:name="_Toc12797"/>
      <w:bookmarkStart w:id="45" w:name="_Toc30888"/>
      <w:bookmarkStart w:id="46" w:name="_Toc57764002"/>
      <w:r>
        <w:rPr>
          <w:rFonts w:cs="Times New Roman"/>
          <w:color w:val="auto"/>
        </w:rPr>
        <w:t>第四节 发展定位和发展目标</w:t>
      </w:r>
      <w:bookmarkEnd w:id="44"/>
      <w:bookmarkEnd w:id="45"/>
      <w:bookmarkEnd w:id="46"/>
    </w:p>
    <w:p>
      <w:pPr>
        <w:pStyle w:val="4"/>
        <w:adjustRightInd w:val="0"/>
        <w:snapToGrid/>
        <w:spacing w:before="0" w:beforeLines="0" w:after="0" w:afterLines="0"/>
        <w:contextualSpacing w:val="0"/>
        <w:rPr>
          <w:rFonts w:ascii="Times New Roman" w:hAnsi="Times New Roman" w:cs="Times New Roman"/>
          <w:color w:val="auto"/>
        </w:rPr>
      </w:pPr>
      <w:bookmarkStart w:id="47" w:name="_Toc1512"/>
      <w:bookmarkStart w:id="48" w:name="_Toc61625564"/>
      <w:bookmarkStart w:id="49" w:name="_Toc14989"/>
      <w:bookmarkStart w:id="50" w:name="_Toc60300011"/>
      <w:bookmarkStart w:id="51" w:name="_Toc61338255"/>
      <w:bookmarkStart w:id="52" w:name="_Toc60327521"/>
      <w:bookmarkStart w:id="53" w:name="_Toc60744806"/>
      <w:r>
        <w:rPr>
          <w:rFonts w:hint="eastAsia" w:ascii="Times New Roman" w:hAnsi="Times New Roman" w:cs="Times New Roman"/>
          <w:color w:val="auto"/>
        </w:rPr>
        <w:t>一</w:t>
      </w:r>
      <w:r>
        <w:rPr>
          <w:rFonts w:ascii="Times New Roman" w:hAnsi="Times New Roman" w:cs="Times New Roman"/>
          <w:color w:val="auto"/>
        </w:rPr>
        <w:t>、发展定位</w:t>
      </w:r>
      <w:bookmarkEnd w:id="47"/>
      <w:bookmarkEnd w:id="48"/>
      <w:bookmarkEnd w:id="49"/>
      <w:bookmarkEnd w:id="50"/>
      <w:bookmarkEnd w:id="51"/>
      <w:bookmarkEnd w:id="52"/>
      <w:bookmarkEnd w:id="53"/>
    </w:p>
    <w:p>
      <w:pPr>
        <w:ind w:firstLine="643"/>
        <w:rPr>
          <w:color w:val="auto"/>
          <w:szCs w:val="32"/>
        </w:rPr>
      </w:pPr>
      <w:r>
        <w:rPr>
          <w:rFonts w:hint="eastAsia"/>
          <w:b/>
          <w:color w:val="auto"/>
        </w:rPr>
        <w:t>大冶市商贸服务业高地。</w:t>
      </w:r>
      <w:r>
        <w:rPr>
          <w:color w:val="auto"/>
          <w:szCs w:val="32"/>
        </w:rPr>
        <w:t>抢抓双循环新发展格局、光谷科创大走廊、大冶湖国家高新区等重要战略机遇，重点提升商贸服务业发展能级，加快商贸服务业提档升级，建成</w:t>
      </w:r>
      <w:r>
        <w:rPr>
          <w:b/>
          <w:bCs/>
          <w:color w:val="auto"/>
          <w:szCs w:val="32"/>
        </w:rPr>
        <w:t>“</w:t>
      </w:r>
      <w:r>
        <w:rPr>
          <w:rFonts w:hint="eastAsia"/>
          <w:b/>
          <w:bCs/>
          <w:color w:val="auto"/>
          <w:szCs w:val="32"/>
        </w:rPr>
        <w:t>城市商业娱乐中心”、“高端商务中心”、“健康医疗中心”</w:t>
      </w:r>
      <w:r>
        <w:rPr>
          <w:rFonts w:hint="eastAsia"/>
          <w:color w:val="auto"/>
          <w:szCs w:val="32"/>
        </w:rPr>
        <w:t>三大中心。</w:t>
      </w:r>
    </w:p>
    <w:p>
      <w:pPr>
        <w:ind w:firstLine="643"/>
        <w:rPr>
          <w:b/>
          <w:bCs/>
          <w:color w:val="auto"/>
          <w:szCs w:val="32"/>
        </w:rPr>
      </w:pPr>
      <w:r>
        <w:rPr>
          <w:rFonts w:hint="eastAsia"/>
          <w:b/>
          <w:bCs/>
          <w:color w:val="auto"/>
          <w:szCs w:val="32"/>
        </w:rPr>
        <w:t>鄂东南生态宜居新城。</w:t>
      </w:r>
      <w:r>
        <w:rPr>
          <w:rFonts w:hint="eastAsia"/>
          <w:color w:val="auto"/>
          <w:szCs w:val="32"/>
        </w:rPr>
        <w:t>坚持“生态优先”，紧紧围绕大冶市“生态立市”战略，加强生态建设和环境保护，推进海绵城市和韧性城市建设，大力提升城市生态品质，构建现代环境治理体系，建设人与自然和谐共生的美丽宜居东岳，让城市居民“</w:t>
      </w:r>
      <w:r>
        <w:rPr>
          <w:color w:val="auto"/>
          <w:szCs w:val="32"/>
        </w:rPr>
        <w:t>望得见山、看得见水、记得住乡愁</w:t>
      </w:r>
      <w:r>
        <w:rPr>
          <w:rFonts w:hint="eastAsia"/>
          <w:color w:val="auto"/>
          <w:szCs w:val="32"/>
        </w:rPr>
        <w:t>”。</w:t>
      </w:r>
    </w:p>
    <w:p>
      <w:pPr>
        <w:ind w:firstLine="643"/>
        <w:rPr>
          <w:b/>
          <w:bCs/>
          <w:color w:val="auto"/>
        </w:rPr>
      </w:pPr>
      <w:r>
        <w:rPr>
          <w:rFonts w:hint="eastAsia"/>
          <w:b/>
          <w:bCs/>
          <w:color w:val="auto"/>
          <w:szCs w:val="32"/>
        </w:rPr>
        <w:t>新时代高品质和谐街办。</w:t>
      </w:r>
      <w:r>
        <w:rPr>
          <w:rFonts w:eastAsia="仿宋"/>
          <w:color w:val="auto"/>
          <w:szCs w:val="32"/>
          <w:shd w:val="clear" w:color="auto" w:fill="FFFFFF"/>
        </w:rPr>
        <w:t>始终坚持“以人民为中心”，</w:t>
      </w:r>
      <w:r>
        <w:rPr>
          <w:rFonts w:hint="eastAsia"/>
          <w:color w:val="auto"/>
          <w:szCs w:val="32"/>
        </w:rPr>
        <w:t>以</w:t>
      </w:r>
      <w:r>
        <w:rPr>
          <w:rFonts w:hint="eastAsia"/>
          <w:color w:val="auto"/>
        </w:rPr>
        <w:t>“党建引领·幸福小区”改革为指引，完善</w:t>
      </w:r>
      <w:r>
        <w:rPr>
          <w:color w:val="auto"/>
          <w:szCs w:val="32"/>
        </w:rPr>
        <w:t>社会治理重心下移机制</w:t>
      </w:r>
      <w:r>
        <w:rPr>
          <w:rFonts w:hint="eastAsia"/>
          <w:color w:val="auto"/>
          <w:szCs w:val="32"/>
        </w:rPr>
        <w:t>，</w:t>
      </w:r>
      <w:r>
        <w:rPr>
          <w:rFonts w:hint="eastAsia"/>
          <w:color w:val="auto"/>
        </w:rPr>
        <w:t>持续推进基层治理体系与治理能力现代化。进一步擦亮社区名片，弘扬社区精神，彰显社区特色，推进社区转型。</w:t>
      </w:r>
      <w:r>
        <w:rPr>
          <w:color w:val="auto"/>
        </w:rPr>
        <w:t>积极开展文明实践和文明创建，</w:t>
      </w:r>
      <w:r>
        <w:rPr>
          <w:rFonts w:hint="eastAsia"/>
          <w:color w:val="auto"/>
        </w:rPr>
        <w:t>继续落实在职党员干部下沉居住地社区制度，完善</w:t>
      </w:r>
      <w:r>
        <w:rPr>
          <w:rFonts w:eastAsia="仿宋"/>
          <w:color w:val="auto"/>
          <w:szCs w:val="32"/>
          <w:shd w:val="clear" w:color="auto" w:fill="FFFFFF"/>
        </w:rPr>
        <w:t>“两长五员一户”制度</w:t>
      </w:r>
      <w:r>
        <w:rPr>
          <w:rFonts w:hint="eastAsia"/>
          <w:color w:val="auto"/>
        </w:rPr>
        <w:t>，充分发挥“党员干部志愿服务队”作用。</w:t>
      </w:r>
    </w:p>
    <w:p>
      <w:pPr>
        <w:pStyle w:val="4"/>
        <w:adjustRightInd w:val="0"/>
        <w:snapToGrid/>
        <w:spacing w:before="0" w:beforeLines="0" w:after="0" w:afterLines="0"/>
        <w:contextualSpacing w:val="0"/>
        <w:rPr>
          <w:rFonts w:ascii="Times New Roman" w:hAnsi="Times New Roman" w:cs="Times New Roman"/>
          <w:color w:val="auto"/>
        </w:rPr>
      </w:pPr>
      <w:bookmarkStart w:id="54" w:name="_Toc61625565"/>
      <w:bookmarkStart w:id="55" w:name="_Toc18368"/>
      <w:bookmarkStart w:id="56" w:name="_Toc60744807"/>
      <w:bookmarkStart w:id="57" w:name="_Toc60300012"/>
      <w:bookmarkStart w:id="58" w:name="_Toc2113"/>
      <w:bookmarkStart w:id="59" w:name="_Toc60327522"/>
      <w:bookmarkStart w:id="60" w:name="_Toc61338256"/>
      <w:r>
        <w:rPr>
          <w:rFonts w:hint="eastAsia" w:ascii="Times New Roman" w:hAnsi="Times New Roman" w:cs="Times New Roman"/>
          <w:color w:val="auto"/>
        </w:rPr>
        <w:t>二</w:t>
      </w:r>
      <w:r>
        <w:rPr>
          <w:rFonts w:ascii="Times New Roman" w:hAnsi="Times New Roman" w:cs="Times New Roman"/>
          <w:color w:val="auto"/>
        </w:rPr>
        <w:t>、发展目标</w:t>
      </w:r>
      <w:bookmarkEnd w:id="54"/>
      <w:bookmarkEnd w:id="55"/>
      <w:bookmarkEnd w:id="56"/>
      <w:bookmarkEnd w:id="57"/>
      <w:bookmarkEnd w:id="58"/>
      <w:bookmarkEnd w:id="59"/>
      <w:bookmarkEnd w:id="60"/>
    </w:p>
    <w:p>
      <w:pPr>
        <w:rPr>
          <w:color w:val="auto"/>
        </w:rPr>
      </w:pPr>
      <w:r>
        <w:rPr>
          <w:color w:val="auto"/>
        </w:rPr>
        <w:t>到</w:t>
      </w:r>
      <w:r>
        <w:rPr>
          <w:rFonts w:hint="eastAsia"/>
          <w:color w:val="auto"/>
        </w:rPr>
        <w:t>“</w:t>
      </w:r>
      <w:r>
        <w:rPr>
          <w:color w:val="auto"/>
        </w:rPr>
        <w:t>十四五</w:t>
      </w:r>
      <w:r>
        <w:rPr>
          <w:rFonts w:hint="eastAsia"/>
          <w:color w:val="auto"/>
        </w:rPr>
        <w:t>”</w:t>
      </w:r>
      <w:r>
        <w:rPr>
          <w:color w:val="auto"/>
        </w:rPr>
        <w:t>末期，</w:t>
      </w:r>
      <w:r>
        <w:rPr>
          <w:rFonts w:hint="eastAsia"/>
          <w:color w:val="auto"/>
        </w:rPr>
        <w:t>东岳路街道办事处</w:t>
      </w:r>
      <w:r>
        <w:rPr>
          <w:color w:val="auto"/>
        </w:rPr>
        <w:t>在经济社会发展，生态环境</w:t>
      </w:r>
      <w:r>
        <w:rPr>
          <w:rFonts w:hint="eastAsia"/>
          <w:color w:val="auto"/>
        </w:rPr>
        <w:t>治理</w:t>
      </w:r>
      <w:r>
        <w:rPr>
          <w:color w:val="auto"/>
        </w:rPr>
        <w:t>，民生福祉提升，基层治理水平等方面实现全面突破，大幅跃升。</w:t>
      </w:r>
      <w:r>
        <w:rPr>
          <w:rFonts w:hint="eastAsia"/>
          <w:color w:val="auto"/>
        </w:rPr>
        <w:t>争取助力大冶市保持“全国文明城市”、“国家卫生城市”称号，助力大冶市务实做好“五城同创”工作，打造成长江中游高质量示范街办。</w:t>
      </w:r>
    </w:p>
    <w:p>
      <w:pPr>
        <w:ind w:firstLine="643"/>
        <w:rPr>
          <w:color w:val="auto"/>
        </w:rPr>
      </w:pPr>
      <w:r>
        <w:rPr>
          <w:b/>
          <w:color w:val="auto"/>
        </w:rPr>
        <w:t>经济发展新突破。</w:t>
      </w:r>
      <w:r>
        <w:rPr>
          <w:color w:val="auto"/>
        </w:rPr>
        <w:t>扎实推进疫后重振，2021年经济各项指标全面恢复到2019年水平。</w:t>
      </w:r>
      <w:r>
        <w:rPr>
          <w:rFonts w:hint="eastAsia"/>
          <w:color w:val="auto"/>
        </w:rPr>
        <w:t>到</w:t>
      </w:r>
      <w:r>
        <w:rPr>
          <w:color w:val="auto"/>
        </w:rPr>
        <w:t>2025</w:t>
      </w:r>
      <w:r>
        <w:rPr>
          <w:rFonts w:hint="eastAsia"/>
          <w:color w:val="auto"/>
        </w:rPr>
        <w:t>年，争取地区生产总值突破</w:t>
      </w:r>
      <w:r>
        <w:rPr>
          <w:color w:val="auto"/>
        </w:rPr>
        <w:t>X</w:t>
      </w:r>
      <w:r>
        <w:rPr>
          <w:rFonts w:hint="eastAsia"/>
          <w:color w:val="auto"/>
        </w:rPr>
        <w:t>亿元、财政总收入突破</w:t>
      </w:r>
      <w:r>
        <w:rPr>
          <w:color w:val="auto"/>
        </w:rPr>
        <w:t>10</w:t>
      </w:r>
      <w:r>
        <w:rPr>
          <w:rFonts w:hint="eastAsia"/>
          <w:color w:val="auto"/>
        </w:rPr>
        <w:t>亿元、全社会固定资产投资总额超过</w:t>
      </w:r>
      <w:r>
        <w:rPr>
          <w:color w:val="auto"/>
        </w:rPr>
        <w:t>40</w:t>
      </w:r>
      <w:r>
        <w:rPr>
          <w:rFonts w:hint="eastAsia"/>
          <w:color w:val="auto"/>
        </w:rPr>
        <w:t>亿元、社会商品零售总额达</w:t>
      </w:r>
      <w:r>
        <w:rPr>
          <w:color w:val="auto"/>
        </w:rPr>
        <w:t>20</w:t>
      </w:r>
      <w:r>
        <w:rPr>
          <w:rFonts w:hint="eastAsia"/>
          <w:color w:val="auto"/>
        </w:rPr>
        <w:t>亿元，年均增长率分别为</w:t>
      </w:r>
      <w:r>
        <w:rPr>
          <w:color w:val="auto"/>
        </w:rPr>
        <w:t>7%</w:t>
      </w:r>
      <w:r>
        <w:rPr>
          <w:rFonts w:hint="eastAsia"/>
          <w:color w:val="auto"/>
        </w:rPr>
        <w:t>、</w:t>
      </w:r>
      <w:r>
        <w:rPr>
          <w:color w:val="auto"/>
        </w:rPr>
        <w:t>10.5%</w:t>
      </w:r>
      <w:r>
        <w:rPr>
          <w:rFonts w:hint="eastAsia"/>
          <w:color w:val="auto"/>
        </w:rPr>
        <w:t>、</w:t>
      </w:r>
      <w:r>
        <w:rPr>
          <w:color w:val="auto"/>
        </w:rPr>
        <w:t>12.7%</w:t>
      </w:r>
      <w:r>
        <w:rPr>
          <w:rFonts w:hint="eastAsia"/>
          <w:color w:val="auto"/>
        </w:rPr>
        <w:t>和</w:t>
      </w:r>
      <w:r>
        <w:rPr>
          <w:color w:val="auto"/>
        </w:rPr>
        <w:t>13.0%</w:t>
      </w:r>
      <w:r>
        <w:rPr>
          <w:rFonts w:hint="eastAsia"/>
          <w:color w:val="auto"/>
        </w:rPr>
        <w:t>。</w:t>
      </w:r>
      <w:r>
        <w:rPr>
          <w:color w:val="auto"/>
        </w:rPr>
        <w:t>全</w:t>
      </w:r>
      <w:r>
        <w:rPr>
          <w:rFonts w:hint="eastAsia"/>
          <w:color w:val="auto"/>
        </w:rPr>
        <w:t>街办</w:t>
      </w:r>
      <w:r>
        <w:rPr>
          <w:color w:val="auto"/>
        </w:rPr>
        <w:t>国民生产总值和</w:t>
      </w:r>
      <w:r>
        <w:rPr>
          <w:rFonts w:hint="eastAsia"/>
          <w:color w:val="auto"/>
        </w:rPr>
        <w:t>招商引资实际到资</w:t>
      </w:r>
      <w:r>
        <w:rPr>
          <w:color w:val="auto"/>
        </w:rPr>
        <w:t>分别达到X</w:t>
      </w:r>
      <w:r>
        <w:rPr>
          <w:rFonts w:hint="eastAsia"/>
          <w:color w:val="auto"/>
        </w:rPr>
        <w:t>亿</w:t>
      </w:r>
      <w:r>
        <w:rPr>
          <w:color w:val="auto"/>
        </w:rPr>
        <w:t>元和</w:t>
      </w:r>
      <w:r>
        <w:rPr>
          <w:rFonts w:hint="eastAsia"/>
          <w:color w:val="auto"/>
        </w:rPr>
        <w:t>30</w:t>
      </w:r>
      <w:r>
        <w:rPr>
          <w:color w:val="auto"/>
        </w:rPr>
        <w:t>亿元，年均增长X%和</w:t>
      </w:r>
      <w:r>
        <w:rPr>
          <w:rFonts w:hint="eastAsia"/>
          <w:color w:val="auto"/>
        </w:rPr>
        <w:t>7</w:t>
      </w:r>
      <w:r>
        <w:rPr>
          <w:color w:val="auto"/>
        </w:rPr>
        <w:t>%。</w:t>
      </w:r>
    </w:p>
    <w:p>
      <w:pPr>
        <w:ind w:firstLine="643"/>
        <w:rPr>
          <w:color w:val="auto"/>
        </w:rPr>
      </w:pPr>
      <w:r>
        <w:rPr>
          <w:rFonts w:hint="eastAsia"/>
          <w:b/>
          <w:bCs/>
          <w:color w:val="auto"/>
        </w:rPr>
        <w:t>产业提档新格局</w:t>
      </w:r>
      <w:r>
        <w:rPr>
          <w:color w:val="auto"/>
        </w:rPr>
        <w:t>。深度融入“大光谷”</w:t>
      </w:r>
      <w:r>
        <w:rPr>
          <w:rFonts w:hint="eastAsia"/>
          <w:color w:val="auto"/>
        </w:rPr>
        <w:t>和武汉城市圈同城化</w:t>
      </w:r>
      <w:r>
        <w:rPr>
          <w:color w:val="auto"/>
        </w:rPr>
        <w:t>发展</w:t>
      </w:r>
      <w:r>
        <w:rPr>
          <w:rFonts w:hint="eastAsia"/>
          <w:color w:val="auto"/>
        </w:rPr>
        <w:t>机遇</w:t>
      </w:r>
      <w:r>
        <w:rPr>
          <w:color w:val="auto"/>
        </w:rPr>
        <w:t>，实现与</w:t>
      </w:r>
      <w:r>
        <w:rPr>
          <w:rFonts w:hint="eastAsia"/>
          <w:color w:val="auto"/>
        </w:rPr>
        <w:t>大冶城区</w:t>
      </w:r>
      <w:r>
        <w:rPr>
          <w:color w:val="auto"/>
        </w:rPr>
        <w:t>周边城镇的“产业协同、设施共享”，创新驱动和转型发展实现新突破，以总部经济、</w:t>
      </w:r>
      <w:r>
        <w:rPr>
          <w:rFonts w:hint="eastAsia"/>
          <w:color w:val="auto"/>
        </w:rPr>
        <w:t>电子商务、会展经济、商贸咨询</w:t>
      </w:r>
      <w:r>
        <w:rPr>
          <w:color w:val="auto"/>
        </w:rPr>
        <w:t>为重点领域，推动现代商务服务业专业化发展</w:t>
      </w:r>
      <w:r>
        <w:rPr>
          <w:rFonts w:hint="eastAsia"/>
          <w:color w:val="auto"/>
        </w:rPr>
        <w:t>。</w:t>
      </w:r>
    </w:p>
    <w:p>
      <w:pPr>
        <w:ind w:firstLine="643"/>
        <w:rPr>
          <w:color w:val="auto"/>
          <w:spacing w:val="6"/>
        </w:rPr>
      </w:pPr>
      <w:r>
        <w:rPr>
          <w:rFonts w:hint="eastAsia"/>
          <w:b/>
          <w:color w:val="auto"/>
        </w:rPr>
        <w:t>城市品质</w:t>
      </w:r>
      <w:r>
        <w:rPr>
          <w:b/>
          <w:color w:val="auto"/>
        </w:rPr>
        <w:t>新高度。</w:t>
      </w:r>
      <w:r>
        <w:rPr>
          <w:rFonts w:hint="eastAsia"/>
          <w:color w:val="auto"/>
        </w:rPr>
        <w:t>加快城东北地区开发建设</w:t>
      </w:r>
      <w:r>
        <w:rPr>
          <w:color w:val="auto"/>
        </w:rPr>
        <w:t>，</w:t>
      </w:r>
      <w:r>
        <w:rPr>
          <w:rFonts w:hint="eastAsia"/>
          <w:color w:val="auto"/>
        </w:rPr>
        <w:t>拓宽城市发展空间，打造新型商贸</w:t>
      </w:r>
      <w:r>
        <w:rPr>
          <w:rFonts w:eastAsia="仿宋"/>
          <w:color w:val="auto"/>
          <w:szCs w:val="32"/>
        </w:rPr>
        <w:t>综合体、芳香城市综合体</w:t>
      </w:r>
      <w:r>
        <w:rPr>
          <w:rFonts w:hint="eastAsia"/>
          <w:color w:val="auto"/>
        </w:rPr>
        <w:t>。对城西路片区进行旧城改造，加大市政设施投入力度，合理布局城镇空间，完善城市功能。加强道路交通设施、停车设施、市政环卫设施、公共绿地与文化旅游设施、公共服务设施等基础设施建设，以构建布局合理、功能齐全、设施先进的城市基础设施体系为目标，努力营造生态环境优美、居民生活方便、宜居宜业宜游的城市环境。</w:t>
      </w:r>
    </w:p>
    <w:p>
      <w:pPr>
        <w:ind w:firstLine="643"/>
        <w:rPr>
          <w:b/>
          <w:color w:val="auto"/>
        </w:rPr>
      </w:pPr>
      <w:r>
        <w:rPr>
          <w:b/>
          <w:color w:val="auto"/>
        </w:rPr>
        <w:t>生态</w:t>
      </w:r>
      <w:r>
        <w:rPr>
          <w:rFonts w:hint="eastAsia"/>
          <w:b/>
          <w:color w:val="auto"/>
        </w:rPr>
        <w:t>环保</w:t>
      </w:r>
      <w:r>
        <w:rPr>
          <w:b/>
          <w:color w:val="auto"/>
        </w:rPr>
        <w:t>新局面。</w:t>
      </w:r>
      <w:r>
        <w:rPr>
          <w:rFonts w:hint="eastAsia"/>
          <w:color w:val="auto"/>
          <w:szCs w:val="32"/>
        </w:rPr>
        <w:t>重点对尹家湖、红星湖、三里七湖实施截污控源、内源和面源治理、水网构建、生态护岸工程。</w:t>
      </w:r>
      <w:r>
        <w:rPr>
          <w:color w:val="auto"/>
          <w:szCs w:val="32"/>
        </w:rPr>
        <w:t>实现</w:t>
      </w:r>
      <w:r>
        <w:rPr>
          <w:rFonts w:hint="eastAsia"/>
          <w:color w:val="auto"/>
          <w:szCs w:val="32"/>
        </w:rPr>
        <w:t>街道</w:t>
      </w:r>
      <w:r>
        <w:rPr>
          <w:color w:val="auto"/>
          <w:spacing w:val="6"/>
        </w:rPr>
        <w:t>主要污染物排放大幅消减，</w:t>
      </w:r>
      <w:r>
        <w:rPr>
          <w:rFonts w:hint="eastAsia"/>
          <w:color w:val="auto"/>
          <w:spacing w:val="6"/>
        </w:rPr>
        <w:t>生</w:t>
      </w:r>
      <w:r>
        <w:rPr>
          <w:color w:val="auto"/>
          <w:spacing w:val="6"/>
        </w:rPr>
        <w:t>活</w:t>
      </w:r>
      <w:r>
        <w:rPr>
          <w:rFonts w:hint="eastAsia"/>
          <w:color w:val="auto"/>
          <w:spacing w:val="6"/>
        </w:rPr>
        <w:t>污</w:t>
      </w:r>
      <w:r>
        <w:rPr>
          <w:color w:val="auto"/>
          <w:spacing w:val="6"/>
        </w:rPr>
        <w:t>水处理率达到100%，空气质量持续优良</w:t>
      </w:r>
      <w:r>
        <w:rPr>
          <w:rFonts w:hint="eastAsia"/>
          <w:color w:val="auto"/>
          <w:spacing w:val="6"/>
        </w:rPr>
        <w:t>，土壤重金属含量降到原生含量水平</w:t>
      </w:r>
      <w:r>
        <w:rPr>
          <w:color w:val="auto"/>
          <w:spacing w:val="6"/>
        </w:rPr>
        <w:t>。显著</w:t>
      </w:r>
      <w:r>
        <w:rPr>
          <w:rFonts w:hint="eastAsia"/>
          <w:color w:val="auto"/>
          <w:spacing w:val="6"/>
        </w:rPr>
        <w:t>提升</w:t>
      </w:r>
      <w:r>
        <w:rPr>
          <w:color w:val="auto"/>
          <w:spacing w:val="6"/>
        </w:rPr>
        <w:t>生态制度建设成效，生态创建覆盖面进一步加大、层级进一步提升，争取成功创建国家级生态乡镇。</w:t>
      </w:r>
    </w:p>
    <w:p>
      <w:pPr>
        <w:ind w:firstLine="643"/>
        <w:rPr>
          <w:color w:val="auto"/>
          <w:szCs w:val="32"/>
        </w:rPr>
      </w:pPr>
      <w:r>
        <w:rPr>
          <w:b/>
          <w:color w:val="auto"/>
          <w:szCs w:val="28"/>
        </w:rPr>
        <w:t>民生福祉新成绩。</w:t>
      </w:r>
      <w:r>
        <w:rPr>
          <w:color w:val="auto"/>
          <w:szCs w:val="32"/>
        </w:rPr>
        <w:t>就业、教育、医疗、社保、救济、养老、文化等公共服务体系</w:t>
      </w:r>
      <w:r>
        <w:rPr>
          <w:color w:val="auto"/>
        </w:rPr>
        <w:t>更加健全，居民幸福指数进一步提高。城镇居民人均可支配收入与经济发展同步增长，收入水平</w:t>
      </w:r>
      <w:r>
        <w:rPr>
          <w:rFonts w:hint="eastAsia"/>
          <w:color w:val="auto"/>
        </w:rPr>
        <w:t>稳居</w:t>
      </w:r>
      <w:r>
        <w:rPr>
          <w:color w:val="auto"/>
        </w:rPr>
        <w:t>大冶市</w:t>
      </w:r>
      <w:r>
        <w:rPr>
          <w:rFonts w:hint="eastAsia"/>
          <w:color w:val="auto"/>
        </w:rPr>
        <w:t>各乡镇第一</w:t>
      </w:r>
      <w:r>
        <w:rPr>
          <w:color w:val="auto"/>
        </w:rPr>
        <w:t>，收入差距稳步缩小。</w:t>
      </w:r>
      <w:r>
        <w:rPr>
          <w:rFonts w:hint="eastAsia"/>
          <w:color w:val="auto"/>
        </w:rPr>
        <w:t>社区</w:t>
      </w:r>
      <w:r>
        <w:rPr>
          <w:color w:val="auto"/>
        </w:rPr>
        <w:t>文明程度和居民文化素养全面</w:t>
      </w:r>
      <w:r>
        <w:rPr>
          <w:rFonts w:hint="eastAsia"/>
          <w:color w:val="auto"/>
        </w:rPr>
        <w:t>提升</w:t>
      </w:r>
      <w:r>
        <w:rPr>
          <w:color w:val="auto"/>
          <w:szCs w:val="32"/>
        </w:rPr>
        <w:t>。</w:t>
      </w:r>
    </w:p>
    <w:p>
      <w:pPr>
        <w:ind w:firstLine="643"/>
        <w:rPr>
          <w:b/>
          <w:color w:val="auto"/>
        </w:rPr>
      </w:pPr>
      <w:r>
        <w:rPr>
          <w:b/>
          <w:color w:val="auto"/>
        </w:rPr>
        <w:t>基层治理新境界。</w:t>
      </w:r>
      <w:r>
        <w:rPr>
          <w:bCs/>
          <w:color w:val="auto"/>
        </w:rPr>
        <w:t>全面从严治党，</w:t>
      </w:r>
      <w:r>
        <w:rPr>
          <w:rFonts w:hint="eastAsia"/>
          <w:bCs/>
          <w:color w:val="auto"/>
        </w:rPr>
        <w:t>努力提高党的组织建设制度化规范化水平</w:t>
      </w:r>
      <w:r>
        <w:rPr>
          <w:bCs/>
          <w:color w:val="auto"/>
        </w:rPr>
        <w:t>，全面依法</w:t>
      </w:r>
      <w:r>
        <w:rPr>
          <w:rFonts w:hint="eastAsia"/>
          <w:bCs/>
          <w:color w:val="auto"/>
        </w:rPr>
        <w:t>治理</w:t>
      </w:r>
      <w:r>
        <w:rPr>
          <w:bCs/>
          <w:color w:val="auto"/>
        </w:rPr>
        <w:t>，法治建设取得显著成效，治理体系和治理能力现代化水平不断提高，全面建设社会主义现代化强镇的各项政策制度得到深入贯彻落实</w:t>
      </w:r>
      <w:r>
        <w:rPr>
          <w:b/>
          <w:color w:val="auto"/>
        </w:rPr>
        <w:t>。</w:t>
      </w:r>
    </w:p>
    <w:p>
      <w:pPr>
        <w:spacing w:line="560" w:lineRule="exact"/>
        <w:ind w:firstLine="964" w:firstLineChars="400"/>
        <w:rPr>
          <w:b/>
          <w:color w:val="auto"/>
          <w:sz w:val="24"/>
          <w:szCs w:val="28"/>
        </w:rPr>
      </w:pPr>
      <w:r>
        <w:rPr>
          <w:rFonts w:hint="eastAsia"/>
          <w:b/>
          <w:color w:val="auto"/>
          <w:sz w:val="24"/>
          <w:szCs w:val="28"/>
        </w:rPr>
        <w:t>表</w:t>
      </w:r>
      <w:r>
        <w:rPr>
          <w:b/>
          <w:color w:val="auto"/>
          <w:sz w:val="24"/>
          <w:szCs w:val="28"/>
        </w:rPr>
        <w:t xml:space="preserve">1 </w:t>
      </w:r>
      <w:r>
        <w:rPr>
          <w:rFonts w:hint="eastAsia"/>
          <w:b/>
          <w:color w:val="auto"/>
          <w:sz w:val="24"/>
          <w:szCs w:val="28"/>
        </w:rPr>
        <w:t>东岳路街道办事处“十四五”时期经济社会发展主要指标</w:t>
      </w:r>
    </w:p>
    <w:tbl>
      <w:tblPr>
        <w:tblStyle w:val="17"/>
        <w:tblW w:w="4608" w:type="pct"/>
        <w:jc w:val="center"/>
        <w:tblLayout w:type="autofit"/>
        <w:tblCellMar>
          <w:top w:w="0" w:type="dxa"/>
          <w:left w:w="28" w:type="dxa"/>
          <w:bottom w:w="0" w:type="dxa"/>
          <w:right w:w="28" w:type="dxa"/>
        </w:tblCellMar>
      </w:tblPr>
      <w:tblGrid>
        <w:gridCol w:w="650"/>
        <w:gridCol w:w="523"/>
        <w:gridCol w:w="2610"/>
        <w:gridCol w:w="652"/>
        <w:gridCol w:w="911"/>
        <w:gridCol w:w="783"/>
        <w:gridCol w:w="780"/>
        <w:gridCol w:w="797"/>
      </w:tblGrid>
      <w:tr>
        <w:tblPrEx>
          <w:tblCellMar>
            <w:top w:w="0" w:type="dxa"/>
            <w:left w:w="28" w:type="dxa"/>
            <w:bottom w:w="0" w:type="dxa"/>
            <w:right w:w="28" w:type="dxa"/>
          </w:tblCellMar>
        </w:tblPrEx>
        <w:trPr>
          <w:trHeight w:val="20" w:hRule="atLeast"/>
          <w:jc w:val="center"/>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类型</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序号</w:t>
            </w:r>
          </w:p>
        </w:tc>
        <w:tc>
          <w:tcPr>
            <w:tcW w:w="16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指标名称</w:t>
            </w:r>
          </w:p>
        </w:tc>
        <w:tc>
          <w:tcPr>
            <w:tcW w:w="423" w:type="pct"/>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指标</w:t>
            </w:r>
          </w:p>
          <w:p>
            <w:pPr>
              <w:widowControl/>
              <w:spacing w:line="240" w:lineRule="auto"/>
              <w:ind w:firstLine="0" w:firstLineChars="0"/>
              <w:contextualSpacing/>
              <w:jc w:val="center"/>
              <w:rPr>
                <w:b/>
                <w:bCs/>
                <w:color w:val="auto"/>
                <w:kern w:val="0"/>
                <w:sz w:val="21"/>
                <w:szCs w:val="21"/>
              </w:rPr>
            </w:pPr>
            <w:r>
              <w:rPr>
                <w:b/>
                <w:bCs/>
                <w:color w:val="auto"/>
                <w:kern w:val="0"/>
                <w:sz w:val="21"/>
                <w:szCs w:val="21"/>
              </w:rPr>
              <w:t>单位</w:t>
            </w:r>
          </w:p>
        </w:tc>
        <w:tc>
          <w:tcPr>
            <w:tcW w:w="591" w:type="pct"/>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指标</w:t>
            </w:r>
          </w:p>
          <w:p>
            <w:pPr>
              <w:widowControl/>
              <w:spacing w:line="240" w:lineRule="auto"/>
              <w:ind w:firstLine="0" w:firstLineChars="0"/>
              <w:contextualSpacing/>
              <w:jc w:val="center"/>
              <w:rPr>
                <w:b/>
                <w:bCs/>
                <w:color w:val="auto"/>
                <w:kern w:val="0"/>
                <w:sz w:val="21"/>
                <w:szCs w:val="21"/>
              </w:rPr>
            </w:pPr>
            <w:r>
              <w:rPr>
                <w:b/>
                <w:bCs/>
                <w:color w:val="auto"/>
                <w:kern w:val="0"/>
                <w:sz w:val="21"/>
                <w:szCs w:val="21"/>
              </w:rPr>
              <w:t>属性</w:t>
            </w:r>
          </w:p>
        </w:tc>
        <w:tc>
          <w:tcPr>
            <w:tcW w:w="50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2020年</w:t>
            </w:r>
          </w:p>
        </w:tc>
        <w:tc>
          <w:tcPr>
            <w:tcW w:w="102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2025年目标值</w:t>
            </w:r>
          </w:p>
        </w:tc>
      </w:tr>
      <w:tr>
        <w:tblPrEx>
          <w:tblCellMar>
            <w:top w:w="0" w:type="dxa"/>
            <w:left w:w="28" w:type="dxa"/>
            <w:bottom w:w="0" w:type="dxa"/>
            <w:right w:w="28" w:type="dxa"/>
          </w:tblCellMar>
        </w:tblPrEx>
        <w:trPr>
          <w:trHeight w:val="20" w:hRule="atLeast"/>
          <w:jc w:val="center"/>
        </w:trPr>
        <w:tc>
          <w:tcPr>
            <w:tcW w:w="4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contextualSpacing/>
              <w:jc w:val="center"/>
              <w:rPr>
                <w:b/>
                <w:bCs/>
                <w:color w:val="auto"/>
                <w:kern w:val="0"/>
                <w:sz w:val="21"/>
                <w:szCs w:val="21"/>
              </w:rPr>
            </w:pPr>
          </w:p>
        </w:tc>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contextualSpacing/>
              <w:jc w:val="center"/>
              <w:rPr>
                <w:b/>
                <w:bCs/>
                <w:color w:val="auto"/>
                <w:kern w:val="0"/>
                <w:sz w:val="21"/>
                <w:szCs w:val="21"/>
              </w:rPr>
            </w:pPr>
          </w:p>
        </w:tc>
        <w:tc>
          <w:tcPr>
            <w:tcW w:w="169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contextualSpacing/>
              <w:jc w:val="center"/>
              <w:rPr>
                <w:b/>
                <w:bCs/>
                <w:color w:val="auto"/>
                <w:kern w:val="0"/>
                <w:sz w:val="21"/>
                <w:szCs w:val="21"/>
              </w:rPr>
            </w:pPr>
          </w:p>
        </w:tc>
        <w:tc>
          <w:tcPr>
            <w:tcW w:w="423" w:type="pct"/>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p>
        </w:tc>
        <w:tc>
          <w:tcPr>
            <w:tcW w:w="591" w:type="pct"/>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基数</w:t>
            </w:r>
          </w:p>
          <w:p>
            <w:pPr>
              <w:widowControl/>
              <w:spacing w:line="240" w:lineRule="auto"/>
              <w:ind w:firstLine="0" w:firstLineChars="0"/>
              <w:contextualSpacing/>
              <w:jc w:val="center"/>
              <w:rPr>
                <w:b/>
                <w:bCs/>
                <w:color w:val="auto"/>
                <w:kern w:val="0"/>
                <w:sz w:val="21"/>
                <w:szCs w:val="21"/>
              </w:rPr>
            </w:pPr>
            <w:r>
              <w:rPr>
                <w:b/>
                <w:bCs/>
                <w:color w:val="auto"/>
                <w:kern w:val="0"/>
                <w:sz w:val="21"/>
                <w:szCs w:val="21"/>
              </w:rPr>
              <w:t>(预计)</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总量</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b/>
                <w:bCs/>
                <w:color w:val="auto"/>
                <w:kern w:val="0"/>
                <w:sz w:val="21"/>
                <w:szCs w:val="21"/>
              </w:rPr>
            </w:pPr>
            <w:r>
              <w:rPr>
                <w:b/>
                <w:bCs/>
                <w:color w:val="auto"/>
                <w:kern w:val="0"/>
                <w:sz w:val="21"/>
                <w:szCs w:val="21"/>
              </w:rPr>
              <w:t>年均</w:t>
            </w:r>
          </w:p>
          <w:p>
            <w:pPr>
              <w:widowControl/>
              <w:spacing w:line="240" w:lineRule="auto"/>
              <w:ind w:firstLine="0" w:firstLineChars="0"/>
              <w:contextualSpacing/>
              <w:jc w:val="center"/>
              <w:rPr>
                <w:b/>
                <w:bCs/>
                <w:color w:val="auto"/>
                <w:kern w:val="0"/>
                <w:sz w:val="21"/>
                <w:szCs w:val="21"/>
              </w:rPr>
            </w:pPr>
            <w:r>
              <w:rPr>
                <w:b/>
                <w:bCs/>
                <w:color w:val="auto"/>
                <w:kern w:val="0"/>
                <w:sz w:val="21"/>
                <w:szCs w:val="21"/>
              </w:rPr>
              <w:t>[累计]</w:t>
            </w:r>
          </w:p>
        </w:tc>
      </w:tr>
      <w:tr>
        <w:tblPrEx>
          <w:tblCellMar>
            <w:top w:w="0" w:type="dxa"/>
            <w:left w:w="28" w:type="dxa"/>
            <w:bottom w:w="0" w:type="dxa"/>
            <w:right w:w="28" w:type="dxa"/>
          </w:tblCellMar>
        </w:tblPrEx>
        <w:trPr>
          <w:trHeight w:val="20" w:hRule="atLeast"/>
          <w:jc w:val="center"/>
        </w:trPr>
        <w:tc>
          <w:tcPr>
            <w:tcW w:w="42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经济</w:t>
            </w:r>
          </w:p>
          <w:p>
            <w:pPr>
              <w:widowControl/>
              <w:spacing w:line="240" w:lineRule="auto"/>
              <w:ind w:firstLine="0" w:firstLineChars="0"/>
              <w:contextualSpacing/>
              <w:jc w:val="center"/>
              <w:rPr>
                <w:color w:val="auto"/>
                <w:kern w:val="0"/>
                <w:sz w:val="21"/>
                <w:szCs w:val="21"/>
              </w:rPr>
            </w:pPr>
            <w:r>
              <w:rPr>
                <w:color w:val="auto"/>
                <w:kern w:val="0"/>
                <w:sz w:val="21"/>
                <w:szCs w:val="21"/>
              </w:rPr>
              <w:t>发展</w:t>
            </w: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1</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1"/>
                <w:szCs w:val="21"/>
              </w:rPr>
              <w:t>地区生产总值（GDP）</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亿元</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＞8%</w:t>
            </w:r>
          </w:p>
        </w:tc>
      </w:tr>
      <w:tr>
        <w:tblPrEx>
          <w:tblCellMar>
            <w:top w:w="0" w:type="dxa"/>
            <w:left w:w="28" w:type="dxa"/>
            <w:bottom w:w="0" w:type="dxa"/>
            <w:right w:w="28" w:type="dxa"/>
          </w:tblCellMar>
        </w:tblPrEx>
        <w:trPr>
          <w:trHeight w:val="20" w:hRule="atLeast"/>
          <w:jc w:val="center"/>
        </w:trPr>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2</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1"/>
                <w:szCs w:val="21"/>
              </w:rPr>
              <w:t>地方一般公共</w:t>
            </w:r>
            <w:r>
              <w:rPr>
                <w:rFonts w:hint="eastAsia"/>
                <w:color w:val="auto"/>
                <w:kern w:val="0"/>
                <w:sz w:val="21"/>
                <w:szCs w:val="21"/>
              </w:rPr>
              <w:t>财政</w:t>
            </w:r>
            <w:r>
              <w:rPr>
                <w:color w:val="auto"/>
                <w:kern w:val="0"/>
                <w:sz w:val="21"/>
                <w:szCs w:val="21"/>
              </w:rPr>
              <w:t>预算收入</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亿元</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3</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1"/>
                <w:szCs w:val="21"/>
              </w:rPr>
              <w:t>全社会固定资产投资</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亿元</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40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4</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1"/>
                <w:szCs w:val="21"/>
              </w:rPr>
              <w:t>人均地区生产总值</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rPr>
                <w:color w:val="auto"/>
                <w:kern w:val="0"/>
                <w:sz w:val="21"/>
                <w:szCs w:val="21"/>
              </w:rPr>
            </w:pPr>
            <w:r>
              <w:rPr>
                <w:rFonts w:hint="eastAsia"/>
                <w:color w:val="auto"/>
                <w:kern w:val="0"/>
                <w:sz w:val="21"/>
                <w:szCs w:val="21"/>
              </w:rPr>
              <w:t>万元</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创新</w:t>
            </w:r>
          </w:p>
          <w:p>
            <w:pPr>
              <w:widowControl/>
              <w:spacing w:line="240" w:lineRule="auto"/>
              <w:ind w:firstLine="0" w:firstLineChars="0"/>
              <w:contextualSpacing/>
              <w:jc w:val="center"/>
              <w:rPr>
                <w:color w:val="auto"/>
                <w:kern w:val="0"/>
                <w:sz w:val="21"/>
                <w:szCs w:val="21"/>
              </w:rPr>
            </w:pPr>
            <w:r>
              <w:rPr>
                <w:color w:val="auto"/>
                <w:kern w:val="0"/>
                <w:sz w:val="21"/>
                <w:szCs w:val="21"/>
              </w:rPr>
              <w:t>能力</w:t>
            </w: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5</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5</w:t>
            </w:r>
            <w:r>
              <w:rPr>
                <w:color w:val="auto"/>
                <w:kern w:val="0"/>
                <w:sz w:val="22"/>
              </w:rPr>
              <w:t>G</w:t>
            </w:r>
            <w:r>
              <w:rPr>
                <w:rFonts w:hint="eastAsia"/>
                <w:color w:val="auto"/>
                <w:kern w:val="0"/>
                <w:sz w:val="22"/>
              </w:rPr>
              <w:t>基站建设个数</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个</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6</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高新技术企业增加数</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件</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5</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7</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1"/>
                <w:szCs w:val="21"/>
              </w:rPr>
              <w:t>高新技术产业增加值占GDP的比重</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18%</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18</w:t>
            </w:r>
            <w:r>
              <w:rPr>
                <w:color w:val="auto"/>
                <w:kern w:val="0"/>
                <w:sz w:val="22"/>
              </w:rPr>
              <w:t>%</w:t>
            </w:r>
          </w:p>
        </w:tc>
      </w:tr>
      <w:tr>
        <w:tblPrEx>
          <w:tblCellMar>
            <w:top w:w="0" w:type="dxa"/>
            <w:left w:w="28" w:type="dxa"/>
            <w:bottom w:w="0" w:type="dxa"/>
            <w:right w:w="28" w:type="dxa"/>
          </w:tblCellMar>
        </w:tblPrEx>
        <w:trPr>
          <w:trHeight w:val="20" w:hRule="atLeast"/>
          <w:jc w:val="center"/>
        </w:trPr>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8</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外贸进出口总额</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万美元</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550</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600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民生</w:t>
            </w:r>
          </w:p>
          <w:p>
            <w:pPr>
              <w:widowControl/>
              <w:spacing w:line="240" w:lineRule="auto"/>
              <w:ind w:firstLine="0" w:firstLineChars="0"/>
              <w:contextualSpacing/>
              <w:jc w:val="center"/>
              <w:rPr>
                <w:color w:val="auto"/>
                <w:kern w:val="0"/>
                <w:sz w:val="21"/>
                <w:szCs w:val="21"/>
              </w:rPr>
            </w:pPr>
            <w:r>
              <w:rPr>
                <w:color w:val="auto"/>
                <w:kern w:val="0"/>
                <w:sz w:val="21"/>
                <w:szCs w:val="21"/>
              </w:rPr>
              <w:t>福祉</w:t>
            </w:r>
          </w:p>
        </w:tc>
        <w:tc>
          <w:tcPr>
            <w:tcW w:w="339" w:type="pc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9</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1"/>
                <w:szCs w:val="21"/>
              </w:rPr>
              <w:t>城镇常住居民人均可支配收入</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元</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40673</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58391</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top w:val="nil"/>
              <w:left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339" w:type="pc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10</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1"/>
                <w:szCs w:val="21"/>
              </w:rPr>
              <w:t>公办幼儿园入学率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50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11</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城镇新增就业人数</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人</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620</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4000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1</w:t>
            </w:r>
            <w:r>
              <w:rPr>
                <w:rFonts w:hint="eastAsia"/>
                <w:color w:val="auto"/>
                <w:kern w:val="0"/>
                <w:sz w:val="21"/>
                <w:szCs w:val="21"/>
              </w:rPr>
              <w:t>2</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1"/>
                <w:szCs w:val="21"/>
              </w:rPr>
              <w:t>城镇登记失业率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4%</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1</w:t>
            </w:r>
            <w:r>
              <w:rPr>
                <w:rFonts w:hint="eastAsia"/>
                <w:color w:val="auto"/>
                <w:kern w:val="0"/>
                <w:sz w:val="21"/>
                <w:szCs w:val="21"/>
              </w:rPr>
              <w:t>3</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2"/>
              </w:rPr>
              <w:t>基本养老保险参保</w:t>
            </w:r>
            <w:r>
              <w:rPr>
                <w:rFonts w:hint="eastAsia"/>
                <w:color w:val="auto"/>
                <w:kern w:val="0"/>
                <w:sz w:val="22"/>
              </w:rPr>
              <w:t>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约束率</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90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1</w:t>
            </w:r>
            <w:r>
              <w:rPr>
                <w:rFonts w:hint="eastAsia"/>
                <w:color w:val="auto"/>
                <w:kern w:val="0"/>
                <w:sz w:val="21"/>
                <w:szCs w:val="21"/>
              </w:rPr>
              <w:t>4</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2"/>
              </w:rPr>
              <w:t>城镇基本医疗保险参保</w:t>
            </w:r>
            <w:r>
              <w:rPr>
                <w:rFonts w:hint="eastAsia"/>
                <w:color w:val="auto"/>
                <w:kern w:val="0"/>
                <w:sz w:val="22"/>
              </w:rPr>
              <w:t>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100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1</w:t>
            </w:r>
            <w:r>
              <w:rPr>
                <w:rFonts w:hint="eastAsia"/>
                <w:color w:val="auto"/>
                <w:kern w:val="0"/>
                <w:sz w:val="21"/>
                <w:szCs w:val="21"/>
              </w:rPr>
              <w:t>5</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color w:val="auto"/>
                <w:kern w:val="0"/>
                <w:sz w:val="21"/>
                <w:szCs w:val="21"/>
              </w:rPr>
              <w:t>基本养老保险参保率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90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1</w:t>
            </w:r>
            <w:r>
              <w:rPr>
                <w:rFonts w:hint="eastAsia"/>
                <w:color w:val="auto"/>
                <w:kern w:val="0"/>
                <w:sz w:val="21"/>
                <w:szCs w:val="21"/>
              </w:rPr>
              <w:t>6</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老旧小区改造率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100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1</w:t>
            </w:r>
            <w:r>
              <w:rPr>
                <w:rFonts w:hint="eastAsia"/>
                <w:color w:val="auto"/>
                <w:kern w:val="0"/>
                <w:sz w:val="21"/>
                <w:szCs w:val="21"/>
              </w:rPr>
              <w:t>7</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食品药品抽检合格率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个</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100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18</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2"/>
              </w:rPr>
            </w:pPr>
            <w:r>
              <w:rPr>
                <w:rFonts w:hint="eastAsia"/>
                <w:color w:val="auto"/>
                <w:kern w:val="0"/>
                <w:sz w:val="22"/>
              </w:rPr>
              <w:t>人均公共体育设施面积</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m</w:t>
            </w:r>
            <w:r>
              <w:rPr>
                <w:color w:val="auto"/>
                <w:kern w:val="0"/>
                <w:sz w:val="22"/>
              </w:rPr>
              <w:t>²</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19</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2"/>
              </w:rPr>
            </w:pPr>
            <w:r>
              <w:rPr>
                <w:rFonts w:hint="eastAsia"/>
                <w:color w:val="auto"/>
                <w:kern w:val="0"/>
                <w:sz w:val="22"/>
              </w:rPr>
              <w:t>人均公益性文化设施面积</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m</w:t>
            </w:r>
            <w:r>
              <w:rPr>
                <w:color w:val="auto"/>
                <w:kern w:val="0"/>
                <w:sz w:val="22"/>
              </w:rPr>
              <w:t>²</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20</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2"/>
              </w:rPr>
            </w:pPr>
            <w:r>
              <w:rPr>
                <w:rFonts w:hint="eastAsia"/>
                <w:color w:val="auto"/>
                <w:kern w:val="0"/>
                <w:sz w:val="22"/>
              </w:rPr>
              <w:t>千人医疗卫生机构床位数</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张</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21</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2"/>
              </w:rPr>
            </w:pPr>
            <w:r>
              <w:rPr>
                <w:rFonts w:hint="eastAsia"/>
                <w:color w:val="auto"/>
                <w:kern w:val="0"/>
                <w:sz w:val="22"/>
              </w:rPr>
              <w:t>千人养老机构床位数</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张</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预期性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生态</w:t>
            </w:r>
          </w:p>
          <w:p>
            <w:pPr>
              <w:widowControl/>
              <w:spacing w:line="240" w:lineRule="auto"/>
              <w:ind w:firstLine="0" w:firstLineChars="0"/>
              <w:contextualSpacing/>
              <w:jc w:val="center"/>
              <w:rPr>
                <w:color w:val="auto"/>
                <w:kern w:val="0"/>
                <w:sz w:val="21"/>
                <w:szCs w:val="21"/>
              </w:rPr>
            </w:pPr>
            <w:r>
              <w:rPr>
                <w:color w:val="auto"/>
                <w:kern w:val="0"/>
                <w:sz w:val="21"/>
                <w:szCs w:val="21"/>
              </w:rPr>
              <w:t>环境</w:t>
            </w: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22</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空气质量优良天数比率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90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23</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污水处理率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100</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24</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万元</w:t>
            </w:r>
            <w:r>
              <w:rPr>
                <w:color w:val="auto"/>
                <w:kern w:val="0"/>
                <w:sz w:val="22"/>
              </w:rPr>
              <w:t>GDP用水量</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2"/>
              </w:rPr>
              <w:t>m</w:t>
            </w:r>
            <w:r>
              <w:rPr>
                <w:color w:val="auto"/>
                <w:kern w:val="0"/>
                <w:sz w:val="22"/>
                <w:vertAlign w:val="superscript"/>
              </w:rPr>
              <w:t>3</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25</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单位</w:t>
            </w:r>
            <w:r>
              <w:rPr>
                <w:color w:val="auto"/>
                <w:kern w:val="0"/>
                <w:sz w:val="22"/>
              </w:rPr>
              <w:t>GDP二氧化碳排放量降低</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26</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1"/>
                <w:szCs w:val="21"/>
              </w:rPr>
            </w:pPr>
            <w:r>
              <w:rPr>
                <w:rFonts w:hint="eastAsia"/>
                <w:color w:val="auto"/>
                <w:kern w:val="0"/>
                <w:sz w:val="22"/>
              </w:rPr>
              <w:t>单位</w:t>
            </w:r>
            <w:r>
              <w:rPr>
                <w:color w:val="auto"/>
                <w:kern w:val="0"/>
                <w:sz w:val="22"/>
              </w:rPr>
              <w:t>GDP能耗降低</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27</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2"/>
              </w:rPr>
            </w:pPr>
            <w:r>
              <w:rPr>
                <w:rFonts w:hint="eastAsia"/>
                <w:color w:val="auto"/>
                <w:kern w:val="0"/>
                <w:sz w:val="22"/>
              </w:rPr>
              <w:t>水功能区达标率</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r>
        <w:tblPrEx>
          <w:tblCellMar>
            <w:top w:w="0" w:type="dxa"/>
            <w:left w:w="28" w:type="dxa"/>
            <w:bottom w:w="0" w:type="dxa"/>
            <w:right w:w="28" w:type="dxa"/>
          </w:tblCellMar>
        </w:tblPrEx>
        <w:trPr>
          <w:trHeight w:val="20" w:hRule="atLeast"/>
          <w:jc w:val="center"/>
        </w:trPr>
        <w:tc>
          <w:tcPr>
            <w:tcW w:w="422"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contextualSpacing/>
              <w:jc w:val="left"/>
              <w:rPr>
                <w:color w:val="auto"/>
                <w:kern w:val="0"/>
                <w:sz w:val="21"/>
                <w:szCs w:val="21"/>
              </w:rPr>
            </w:pPr>
          </w:p>
        </w:tc>
        <w:tc>
          <w:tcPr>
            <w:tcW w:w="3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1"/>
                <w:szCs w:val="21"/>
              </w:rPr>
              <w:t>28</w:t>
            </w:r>
          </w:p>
        </w:tc>
        <w:tc>
          <w:tcPr>
            <w:tcW w:w="169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left"/>
              <w:rPr>
                <w:color w:val="auto"/>
                <w:kern w:val="0"/>
                <w:sz w:val="22"/>
              </w:rPr>
            </w:pPr>
            <w:r>
              <w:rPr>
                <w:color w:val="auto"/>
                <w:kern w:val="0"/>
                <w:sz w:val="22"/>
              </w:rPr>
              <w:t>主要污染物排放总量减少</w:t>
            </w:r>
          </w:p>
        </w:tc>
        <w:tc>
          <w:tcPr>
            <w:tcW w:w="4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2"/>
              </w:rPr>
              <w:t>%</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rFonts w:hint="eastAsia"/>
                <w:color w:val="auto"/>
                <w:kern w:val="0"/>
                <w:sz w:val="22"/>
              </w:rPr>
              <w:t>约束性</w:t>
            </w:r>
          </w:p>
        </w:tc>
        <w:tc>
          <w:tcPr>
            <w:tcW w:w="5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0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r>
              <w:rPr>
                <w:color w:val="auto"/>
                <w:kern w:val="0"/>
                <w:sz w:val="21"/>
                <w:szCs w:val="21"/>
              </w:rPr>
              <w:t>—</w:t>
            </w:r>
          </w:p>
        </w:tc>
        <w:tc>
          <w:tcPr>
            <w:tcW w:w="51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contextualSpacing/>
              <w:jc w:val="center"/>
              <w:rPr>
                <w:color w:val="auto"/>
                <w:kern w:val="0"/>
                <w:sz w:val="21"/>
                <w:szCs w:val="21"/>
              </w:rPr>
            </w:pPr>
          </w:p>
        </w:tc>
      </w:tr>
    </w:tbl>
    <w:p>
      <w:pPr>
        <w:spacing w:line="560" w:lineRule="exact"/>
        <w:ind w:firstLine="0" w:firstLineChars="0"/>
        <w:rPr>
          <w:b/>
          <w:color w:val="auto"/>
          <w:sz w:val="24"/>
          <w:szCs w:val="28"/>
        </w:rPr>
      </w:pPr>
    </w:p>
    <w:bookmarkEnd w:id="1"/>
    <w:bookmarkEnd w:id="2"/>
    <w:bookmarkEnd w:id="3"/>
    <w:bookmarkEnd w:id="4"/>
    <w:p>
      <w:pPr>
        <w:pStyle w:val="2"/>
        <w:jc w:val="center"/>
        <w:rPr>
          <w:color w:val="auto"/>
        </w:rPr>
      </w:pPr>
      <w:bookmarkStart w:id="61" w:name="_Toc18271"/>
      <w:bookmarkStart w:id="62" w:name="_Toc26982"/>
      <w:bookmarkStart w:id="63" w:name="_Toc60300013"/>
      <w:bookmarkStart w:id="64" w:name="_Toc57764022"/>
      <w:r>
        <w:rPr>
          <w:rFonts w:hint="eastAsia"/>
          <w:color w:val="auto"/>
        </w:rPr>
        <w:t>第二章 建设现代服务业高地</w:t>
      </w:r>
      <w:bookmarkEnd w:id="61"/>
      <w:bookmarkEnd w:id="62"/>
    </w:p>
    <w:p>
      <w:pPr>
        <w:rPr>
          <w:color w:val="auto"/>
        </w:rPr>
      </w:pPr>
      <w:r>
        <w:rPr>
          <w:color w:val="auto"/>
        </w:rPr>
        <w:t>坚持以高质量发展为引领，抢抓</w:t>
      </w:r>
      <w:r>
        <w:rPr>
          <w:rFonts w:hint="eastAsia"/>
          <w:color w:val="auto"/>
        </w:rPr>
        <w:t>环大冶湖生态新区、尹家湖片区、大冶湖国家级高新区、黄石临空经济区</w:t>
      </w:r>
      <w:r>
        <w:rPr>
          <w:color w:val="auto"/>
        </w:rPr>
        <w:t>建设</w:t>
      </w:r>
      <w:r>
        <w:rPr>
          <w:rFonts w:hint="eastAsia"/>
          <w:color w:val="auto"/>
        </w:rPr>
        <w:t>和老旧城区改造</w:t>
      </w:r>
      <w:r>
        <w:rPr>
          <w:color w:val="auto"/>
        </w:rPr>
        <w:t>契机</w:t>
      </w:r>
      <w:r>
        <w:rPr>
          <w:rFonts w:hint="eastAsia"/>
          <w:color w:val="auto"/>
        </w:rPr>
        <w:t>，</w:t>
      </w:r>
      <w:r>
        <w:rPr>
          <w:color w:val="auto"/>
        </w:rPr>
        <w:t>坚持</w:t>
      </w:r>
      <w:r>
        <w:rPr>
          <w:rFonts w:hint="eastAsia"/>
          <w:color w:val="auto"/>
        </w:rPr>
        <w:t>“品牌</w:t>
      </w:r>
      <w:r>
        <w:rPr>
          <w:color w:val="auto"/>
        </w:rPr>
        <w:t>化、</w:t>
      </w:r>
      <w:r>
        <w:rPr>
          <w:rFonts w:hint="eastAsia"/>
          <w:color w:val="auto"/>
        </w:rPr>
        <w:t>品质化”</w:t>
      </w:r>
      <w:r>
        <w:rPr>
          <w:color w:val="auto"/>
        </w:rPr>
        <w:t>发展</w:t>
      </w:r>
      <w:r>
        <w:rPr>
          <w:rFonts w:hint="eastAsia"/>
          <w:color w:val="auto"/>
        </w:rPr>
        <w:t>。瞄准消费升级，做优商业服务，打造城市商业娱乐中心；瞄准产业转型，做大商务服务，打造城市高端商务中心；瞄准民生福祉，做强公共服务，打造城市健康医疗中心。</w:t>
      </w:r>
    </w:p>
    <w:p>
      <w:pPr>
        <w:pStyle w:val="3"/>
        <w:numPr>
          <w:ilvl w:val="0"/>
          <w:numId w:val="1"/>
        </w:numPr>
        <w:spacing w:line="415" w:lineRule="auto"/>
        <w:ind w:firstLineChars="0"/>
        <w:jc w:val="center"/>
        <w:rPr>
          <w:rFonts w:cs="Times New Roman"/>
          <w:color w:val="auto"/>
        </w:rPr>
      </w:pPr>
      <w:bookmarkStart w:id="65" w:name="_Toc21631"/>
      <w:bookmarkStart w:id="66" w:name="_Toc13113"/>
      <w:r>
        <w:rPr>
          <w:rFonts w:cs="Times New Roman"/>
          <w:color w:val="auto"/>
        </w:rPr>
        <w:t>瞄准消费升级，做优商业服务</w:t>
      </w:r>
      <w:bookmarkEnd w:id="65"/>
      <w:bookmarkEnd w:id="66"/>
    </w:p>
    <w:p>
      <w:pPr>
        <w:rPr>
          <w:color w:val="auto"/>
        </w:rPr>
      </w:pPr>
      <w:r>
        <w:rPr>
          <w:rFonts w:hint="eastAsia"/>
          <w:color w:val="auto"/>
        </w:rPr>
        <w:t>围绕居民消费结构升级，提升发展商贸零售和休闲旅游等商业服务业，推动商业服务便利化、精细化、品质化发展，全面提升商业服务业质量和效益，</w:t>
      </w:r>
      <w:r>
        <w:rPr>
          <w:rFonts w:hint="eastAsia"/>
          <w:b/>
          <w:bCs/>
          <w:color w:val="auto"/>
        </w:rPr>
        <w:t>打造城市商业娱乐中心。</w:t>
      </w:r>
    </w:p>
    <w:p>
      <w:pPr>
        <w:ind w:firstLine="643"/>
        <w:rPr>
          <w:color w:val="auto"/>
        </w:rPr>
      </w:pPr>
      <w:r>
        <w:rPr>
          <w:rFonts w:hint="eastAsia"/>
          <w:b/>
          <w:bCs/>
          <w:color w:val="auto"/>
        </w:rPr>
        <w:t>商贸零售业。</w:t>
      </w:r>
      <w:r>
        <w:rPr>
          <w:rFonts w:hint="eastAsia"/>
          <w:color w:val="auto"/>
        </w:rPr>
        <w:t>深入挖掘东岳现有产业基础发展潜力，顺应消费需求升级趋势，推进商业布局、商圈形态和时尚业态有机更新，培育和打造城东北片区商业综合体、廊桥餐饮一条街、以芳香城市综合体为依托的芳香一条街和以美年大健康、恒大养生谷为依托的养生一条街、恒达欢乐大世界等新的消费热点，打造城市商业娱乐中心。支持商贸流通企业通过“互联网+”，提升线下体验、配送和售后等服务，不断优化消费路径、打破场景限制、提高服务水平。以商贸新天地、中百超市、冶商平价等龙头企业为依托，培育商贸流通业龙头示范企业，支持本土商贸品牌成长，鼓励企业挖掘品牌价值，加强“老字号”品牌传承和发展，鼓励企业进行资源整合，实现集团化、连锁化经营。积极引进麦当劳等国际知名品牌，提升对商业资源的吸引力。引导大型商场和超市等传统零售业建立网上销售平台，形成实体市场与虚拟市场互为补充的销售体系。合理布局社区商贸网点，鼓励引导果蔬批发、洗衣、家政、美发、便利店等生活服务业态围绕社区发展，着力打造“</w:t>
      </w:r>
      <w:r>
        <w:rPr>
          <w:color w:val="auto"/>
        </w:rPr>
        <w:t>10</w:t>
      </w:r>
      <w:r>
        <w:rPr>
          <w:rFonts w:hint="eastAsia"/>
          <w:color w:val="auto"/>
        </w:rPr>
        <w:t>分钟便民服务商圈”。</w:t>
      </w:r>
    </w:p>
    <w:p>
      <w:pPr>
        <w:ind w:firstLine="643"/>
        <w:rPr>
          <w:color w:val="auto"/>
        </w:rPr>
      </w:pPr>
      <w:r>
        <w:rPr>
          <w:rFonts w:hint="eastAsia"/>
          <w:b/>
          <w:bCs/>
          <w:color w:val="auto"/>
        </w:rPr>
        <w:t>休闲旅游业。</w:t>
      </w:r>
      <w:r>
        <w:rPr>
          <w:rFonts w:hint="eastAsia"/>
          <w:color w:val="auto"/>
        </w:rPr>
        <w:t>以休闲度假为核心，文化旅游为基础，节庆旅游为主题，加快发展“旅游+”生态、文化、康养、农业、研学等新业态。依托墈头改造项目，以刘晓红刺绣、楹联文化为基础打造具有地方特色的墈头老街文化，利用新美拆迁地区占地33.3万平方米的地块打造一所集养生、房产为一体的养生机构（恒大养生谷）。精心规划设计保健养生、夜景观光、特色餐饮、文艺演出等“夜间经济”旅游产品，加快推动旅游从“白天游”向“白加黑”转变，打造“全时”旅游目的地。</w:t>
      </w:r>
    </w:p>
    <w:p>
      <w:pPr>
        <w:pStyle w:val="3"/>
        <w:numPr>
          <w:ilvl w:val="0"/>
          <w:numId w:val="1"/>
        </w:numPr>
        <w:spacing w:line="415" w:lineRule="auto"/>
        <w:ind w:firstLineChars="0"/>
        <w:jc w:val="center"/>
        <w:rPr>
          <w:rFonts w:cs="Times New Roman"/>
          <w:color w:val="auto"/>
        </w:rPr>
      </w:pPr>
      <w:bookmarkStart w:id="67" w:name="_Toc20622"/>
      <w:bookmarkStart w:id="68" w:name="_Toc16635"/>
      <w:r>
        <w:rPr>
          <w:rFonts w:cs="Times New Roman"/>
          <w:color w:val="auto"/>
        </w:rPr>
        <w:t>瞄准产业转型，做大商务服务</w:t>
      </w:r>
      <w:bookmarkEnd w:id="67"/>
      <w:bookmarkEnd w:id="68"/>
    </w:p>
    <w:p>
      <w:pPr>
        <w:rPr>
          <w:color w:val="auto"/>
        </w:rPr>
      </w:pPr>
      <w:r>
        <w:rPr>
          <w:rFonts w:hint="eastAsia"/>
          <w:color w:val="auto"/>
        </w:rPr>
        <w:t>围绕经济转型升级需求，着力发展高端商务、电子商务、现代物流、不动产服务等商务服务业，引导产业向专业化和价值链高端延伸，实现三次产业在更高水平上有机融合，</w:t>
      </w:r>
      <w:r>
        <w:rPr>
          <w:rFonts w:hint="eastAsia"/>
          <w:b/>
          <w:bCs/>
          <w:color w:val="auto"/>
        </w:rPr>
        <w:t>打造城市高端商务中心。</w:t>
      </w:r>
    </w:p>
    <w:p>
      <w:pPr>
        <w:ind w:firstLine="643"/>
        <w:rPr>
          <w:color w:val="auto"/>
        </w:rPr>
      </w:pPr>
      <w:r>
        <w:rPr>
          <w:rFonts w:hint="eastAsia"/>
          <w:b/>
          <w:bCs/>
          <w:color w:val="auto"/>
        </w:rPr>
        <w:t>高端商务。</w:t>
      </w:r>
      <w:r>
        <w:rPr>
          <w:rFonts w:hint="eastAsia"/>
          <w:color w:val="auto"/>
        </w:rPr>
        <w:t>以楚城项目、禧来轩酒店和大冶市尚一特连锁酒店华丰店等高端商务酒店建设项目为基础，借助城市更新重点提升商贸服务发展能级，实现商贸服务业高质量提档升级，重点打造集商务中心、行政、酒店于一体的大冶市高端商务中心。</w:t>
      </w:r>
      <w:r>
        <w:rPr>
          <w:color w:val="auto"/>
        </w:rPr>
        <w:t>依托</w:t>
      </w:r>
      <w:r>
        <w:rPr>
          <w:color w:val="auto"/>
          <w:szCs w:val="32"/>
        </w:rPr>
        <w:t>尹家湖总部商务区等核心地区</w:t>
      </w:r>
      <w:r>
        <w:rPr>
          <w:rFonts w:hint="eastAsia"/>
          <w:color w:val="auto"/>
          <w:szCs w:val="32"/>
        </w:rPr>
        <w:t>，</w:t>
      </w:r>
      <w:r>
        <w:rPr>
          <w:color w:val="auto"/>
          <w:szCs w:val="32"/>
        </w:rPr>
        <w:t>大力发展总部经济，瞄准“大冶籍在外企业、外地战略布局型企业”等两类总部资源</w:t>
      </w:r>
      <w:r>
        <w:rPr>
          <w:color w:val="auto"/>
        </w:rPr>
        <w:t>，积极引入头部企业并形成集聚</w:t>
      </w:r>
      <w:r>
        <w:rPr>
          <w:color w:val="auto"/>
          <w:szCs w:val="32"/>
        </w:rPr>
        <w:t>。</w:t>
      </w:r>
      <w:r>
        <w:rPr>
          <w:rFonts w:hint="eastAsia"/>
          <w:color w:val="auto"/>
          <w:szCs w:val="32"/>
        </w:rPr>
        <w:t>充分利用各种宏观调控手段，实施多种优惠政策吸引更多企业总部入驻。坚持错位发展的战略方针，适时规划未来总部基地。成立总部服务社，打造资源共享，企业互助的综合服务平台。构建高素质的人才体系，充实当地的人文社会底蕴，塑造本地品牌，以优雅舒适的生活环境与丰富的人力资源吸引知名企业总部入驻。</w:t>
      </w:r>
      <w:r>
        <w:rPr>
          <w:rFonts w:hint="eastAsia"/>
          <w:color w:val="auto"/>
        </w:rPr>
        <w:t>积极发展会展经济、商贸咨询等商务服务业重点领域，举办农产品、刺绣等大型专业展会，逐步发展具有产业优势的东岳特色会展品牌。努力拓展专业咨询、信息技术咨询，技术交易、成果转化、知识产权、创新创业等商务咨询服务。</w:t>
      </w:r>
    </w:p>
    <w:p>
      <w:pPr>
        <w:ind w:firstLine="643"/>
        <w:rPr>
          <w:color w:val="auto"/>
        </w:rPr>
      </w:pPr>
      <w:r>
        <w:rPr>
          <w:rFonts w:hint="eastAsia"/>
          <w:b/>
          <w:bCs/>
          <w:color w:val="auto"/>
        </w:rPr>
        <w:t>电子商务。</w:t>
      </w:r>
      <w:r>
        <w:rPr>
          <w:rFonts w:hint="eastAsia"/>
          <w:color w:val="auto"/>
        </w:rPr>
        <w:t>重点培育电子商务产业，明确发展方向、发展思路、目标任务和政策措施，增强对电子商务的宏观指导能力。充分发挥政策优势，制定各项优惠措施。在税收、规划、人才引进等方面出实招，创新电商发展环境，支持并培育电商企业和平台发展。培育良好的市场环境。遵循市场规律，发挥企业在电子商务市场运作中的主体作用，培育良好的电子商务生态圈。完善电子商务公共服务平台，以“一区多园”模式（公共服务区</w:t>
      </w:r>
      <w:r>
        <w:rPr>
          <w:color w:val="auto"/>
        </w:rPr>
        <w:t>+</w:t>
      </w:r>
      <w:r>
        <w:rPr>
          <w:rFonts w:hint="eastAsia"/>
          <w:color w:val="auto"/>
        </w:rPr>
        <w:t>乡镇电商园</w:t>
      </w:r>
      <w:r>
        <w:rPr>
          <w:color w:val="auto"/>
        </w:rPr>
        <w:t>+</w:t>
      </w:r>
      <w:r>
        <w:rPr>
          <w:rFonts w:hint="eastAsia"/>
          <w:color w:val="auto"/>
        </w:rPr>
        <w:t>跨境电商企业），建设一批电子商务产业聚集区。设立电子商务专项发展资金，对电子商务产业园和重点电子商务项目给予资金保障。加强扶持资金流向监督，确保下发资金专款专用。实施更具吸引力的人才战略，在街道办逐步建立健全体现人才价值、激发创造活力的电商人才建设战略体系和工作保障机制。加强本地电商人才培训，主要针对电子商务企业、农民专业合作社、创业大学生及政府工作人员。以全国农村电子商务示范县建设为抓手，巩固“万村千乡市场工程”，完善“冶农优品”农产品电子商务公共服务平台，鼓励发展电商直播经济，推动与供销社等专业机构合作，创新建立“互联网</w:t>
      </w:r>
      <w:r>
        <w:rPr>
          <w:color w:val="auto"/>
        </w:rPr>
        <w:t>+</w:t>
      </w:r>
      <w:r>
        <w:rPr>
          <w:rFonts w:hint="eastAsia"/>
          <w:color w:val="auto"/>
        </w:rPr>
        <w:t>供销社”模式，规范多元销售渠道，加快推广大冶农产品及特色产品。</w:t>
      </w:r>
    </w:p>
    <w:p>
      <w:pPr>
        <w:ind w:firstLine="643"/>
        <w:rPr>
          <w:color w:val="auto"/>
        </w:rPr>
      </w:pPr>
      <w:r>
        <w:rPr>
          <w:rFonts w:hint="eastAsia"/>
          <w:b/>
          <w:bCs/>
          <w:color w:val="auto"/>
        </w:rPr>
        <w:t>现代物流。</w:t>
      </w:r>
      <w:r>
        <w:rPr>
          <w:rFonts w:hint="eastAsia"/>
          <w:color w:val="auto"/>
        </w:rPr>
        <w:t>积极对接黄石新港物流园、顺丰机场、以临空物流园为核心，罗桥、金湖等物流园为支撑的大冶市现代智慧物流园，完善物流基础设施条件，推动物流信息平台建设。积极引进培育一批龙头物流企业和第三方物流企业；引导物流企业走差异化发展道路，鼓励物流业与制造业、商贸业、金融业等“多业联动”。优化东岳街道内部物流网点布局，加快流转基地功能调整，淘汰一批小、散、乱物流基地，建设若干个高标准流转中心，进一步提升物流吞吐能力，形成分工明确的物流体系。加大对货运站场建设和开发的资金投入，引导鼓励社会资本参与建设货运站场。鼓励企业运用仓储管理系统、运输管理系统、电子订货系统等信息管理系统，提高物流效率，增强市场竞争力。推动电子商务与全社会物流资源更加紧密结合，加快物流服务模式和业务流程创新。</w:t>
      </w:r>
    </w:p>
    <w:p>
      <w:pPr>
        <w:ind w:firstLine="643"/>
        <w:rPr>
          <w:color w:val="auto"/>
        </w:rPr>
      </w:pPr>
      <w:r>
        <w:rPr>
          <w:rFonts w:hint="eastAsia"/>
          <w:b/>
          <w:bCs/>
          <w:color w:val="auto"/>
        </w:rPr>
        <w:t>不动产服务。</w:t>
      </w:r>
      <w:r>
        <w:rPr>
          <w:rFonts w:hint="eastAsia"/>
          <w:color w:val="auto"/>
        </w:rPr>
        <w:t>推进房地产供给侧改革，优化供给结构，合理控制土地供应规模与房地产开发节奏，促进存量商品房消化；合理引导居民住房消费，支持新市民住房需求以及自住性、改善型住房需求。规范增量、激活存量、培育租赁住房市场，加大对自主性和改善性住房消费的支持力度，依托“思源小区”建设项目、大冶兰园建设项目、芳香城市综合体、恒大养生谷、宏维半岛建设项目等城建项目，因地制宜发展集休闲度假、养生、养老于一体的高端产业地产，满足居民不同购房需求。继续做好住房保障工作，加大保障房、公租房建设投入力度，借助旧房改造契机，积极开展城乡危旧房综合治理，逐步解决和改善中低收入群体的住房需求。</w:t>
      </w:r>
    </w:p>
    <w:p>
      <w:pPr>
        <w:pStyle w:val="3"/>
        <w:numPr>
          <w:ilvl w:val="0"/>
          <w:numId w:val="1"/>
        </w:numPr>
        <w:spacing w:line="415" w:lineRule="auto"/>
        <w:ind w:firstLineChars="0"/>
        <w:jc w:val="center"/>
        <w:rPr>
          <w:rFonts w:cs="Times New Roman"/>
          <w:color w:val="auto"/>
        </w:rPr>
      </w:pPr>
      <w:bookmarkStart w:id="69" w:name="_Toc12152"/>
      <w:bookmarkStart w:id="70" w:name="_Toc26714"/>
      <w:r>
        <w:rPr>
          <w:rFonts w:cs="Times New Roman"/>
          <w:color w:val="auto"/>
        </w:rPr>
        <w:t>瞄准民生福祉，做强公共服务</w:t>
      </w:r>
      <w:bookmarkEnd w:id="69"/>
      <w:bookmarkEnd w:id="70"/>
    </w:p>
    <w:p>
      <w:pPr>
        <w:rPr>
          <w:color w:val="auto"/>
        </w:rPr>
      </w:pPr>
      <w:r>
        <w:rPr>
          <w:rFonts w:hint="eastAsia"/>
          <w:color w:val="auto"/>
        </w:rPr>
        <w:t>围绕改善民生，优化服务供给，引导发展公共医疗、基础教育、社区服务等公共服务业，更好改善民生，提高人民生活质量，</w:t>
      </w:r>
      <w:r>
        <w:rPr>
          <w:rFonts w:hint="eastAsia"/>
          <w:b/>
          <w:bCs/>
          <w:color w:val="auto"/>
        </w:rPr>
        <w:t>打造城市健康医疗中心。</w:t>
      </w:r>
    </w:p>
    <w:p>
      <w:pPr>
        <w:ind w:firstLine="643"/>
        <w:rPr>
          <w:color w:val="auto"/>
        </w:rPr>
      </w:pPr>
      <w:r>
        <w:rPr>
          <w:rFonts w:hint="eastAsia"/>
          <w:b/>
          <w:bCs/>
          <w:color w:val="auto"/>
        </w:rPr>
        <w:t>公共医疗。</w:t>
      </w:r>
      <w:r>
        <w:rPr>
          <w:rFonts w:hint="eastAsia"/>
          <w:color w:val="auto"/>
        </w:rPr>
        <w:t>依托美年大健康、恒大养生谷等项目，发展健康养老、养生保健、健康信息、健康管理等健康服务业，打造大冶市健康医疗中心。积极引进一批带动作用强的健康产业项目，扶持一批具有行业示范性的旗舰型企业，打造一批特色鲜明、配套完善的健康产业园区，努力构筑集生物提取技术研发、中药配方研发、中成药中医药生产、展示销售、医疗养老、疗养康复、养生保健、体育健身等全产业链大健康产业发展格局。加快建设医疗卫生设施，健全医疗卫生服务体系。以大冶市城东北片区为中心，实施大冶市妇幼保健院整体搬迁项目、大冶市第三人民医院业务综合楼建设项目，在中医医院内新建中医传染病综合大楼，扩建中医院医技康复楼，新建大冶市人民医院放疗中心和一栋放疗中心，满足全体居民就近获得医疗服务的需要，提升大冶市整体医疗水平。完善卫生应急体系，医疗救治体系、疾病预防控制体系、卫生执法监督体系和公共卫生信息体系，健全妇幼保健、传染病防治等服务网络，逐步增加公共卫生服务品种，依托尹家湖社区卫生服务中心建设项目，推动公共卫生服务资源向社区配置。</w:t>
      </w:r>
    </w:p>
    <w:p>
      <w:pPr>
        <w:ind w:firstLine="643"/>
        <w:rPr>
          <w:color w:val="auto"/>
        </w:rPr>
      </w:pPr>
      <w:r>
        <w:rPr>
          <w:rFonts w:hint="eastAsia"/>
          <w:b/>
          <w:bCs/>
          <w:color w:val="auto"/>
        </w:rPr>
        <w:t>基础教育。</w:t>
      </w:r>
      <w:r>
        <w:rPr>
          <w:rFonts w:hint="eastAsia"/>
          <w:color w:val="auto"/>
        </w:rPr>
        <w:t>推进义务教育均衡发展。以大冶市城东北片区为中心，新建大冶市城东北小学、中学建设工程、大冶市尹家湖公立幼儿园，扩建英博幼儿园、对大冶市第一中学园内进行改造，扩建大冶市新街小学校园、改建大冶市实验中学校园、大冶市第二实验中学、大冶市育才小学、师范附属小学、北门小学、实验小学等一大批学校，扩大教育规模，进一步加大基础建设力度，不断扩大学前教育资源，加强教育基础环境设施建设，推动教育办学水平跃上新台阶。全面整合提升优质教育资源，建设集团化、电教化、园区化的高级中学、初级中学等教育平台。将公办、民办职业教育资源进行整合，在集聚区组建区域性、综合型、跨行业、多元化的职业教育集团。大力普及学前教育。谋划建设英博幼儿园、大冶市尹家湖公立幼儿园以及扩建大冶市机关幼儿园，大力扶持公办幼儿园发展，构建覆盖城区的学前教育公共服务体系，着力解决学前儿童“入园难”、“入园贵”问题，到</w:t>
      </w:r>
      <w:r>
        <w:rPr>
          <w:color w:val="auto"/>
        </w:rPr>
        <w:t>2025</w:t>
      </w:r>
      <w:r>
        <w:rPr>
          <w:rFonts w:hint="eastAsia"/>
          <w:color w:val="auto"/>
        </w:rPr>
        <w:t>年实现公办幼儿园</w:t>
      </w:r>
      <w:r>
        <w:rPr>
          <w:color w:val="auto"/>
        </w:rPr>
        <w:t>50%</w:t>
      </w:r>
      <w:r>
        <w:rPr>
          <w:rFonts w:hint="eastAsia"/>
          <w:color w:val="auto"/>
        </w:rPr>
        <w:t>入学率。</w:t>
      </w:r>
    </w:p>
    <w:p>
      <w:pPr>
        <w:ind w:firstLine="643"/>
        <w:rPr>
          <w:color w:val="auto"/>
        </w:rPr>
      </w:pPr>
      <w:r>
        <w:rPr>
          <w:rFonts w:hint="eastAsia"/>
          <w:b/>
          <w:bCs/>
          <w:color w:val="auto"/>
        </w:rPr>
        <w:t>社区服务。</w:t>
      </w:r>
      <w:r>
        <w:rPr>
          <w:rFonts w:hint="eastAsia"/>
          <w:color w:val="auto"/>
        </w:rPr>
        <w:t>推动城镇社区基层社会管理创新，加快建立形成与城镇社区居民志愿服务、社会化便民利民服务相衔接的城镇社区服务体系。在发展较好的保康社区和胜利社区培育若干大型家政服务示范企业，依法规范家政服务业发展，逐步发展面向农村和中心镇的家庭服务，促进家政服务市场的成熟与发展。推动老年人社会福利快速发展，推动居家社区养老服务融合发展，提高养老服务覆盖面。整合社区教育培训资源，引入行业组织等参与开展社区教育活动，为社区居民提供人文艺术、科学技术、幼儿教育、养老保健、生活休闲、职业技能等方面教育服务；依托尹家湖社区卫生服务中心建设项目，全面开展城乡社区服务中心建设提升工程，完善社区服务网点，完善信息服务平台功能，推进社区便民服务中心建设，构建社区便民服务联网，满足城乡人民日益增长的多元化、多层次公共服务需求。</w:t>
      </w:r>
    </w:p>
    <w:p>
      <w:pPr>
        <w:pStyle w:val="3"/>
        <w:numPr>
          <w:ilvl w:val="0"/>
          <w:numId w:val="1"/>
        </w:numPr>
        <w:spacing w:line="415" w:lineRule="auto"/>
        <w:ind w:firstLineChars="0"/>
        <w:jc w:val="center"/>
        <w:rPr>
          <w:rFonts w:cs="Times New Roman"/>
          <w:color w:val="auto"/>
        </w:rPr>
      </w:pPr>
      <w:bookmarkStart w:id="71" w:name="_Toc14760"/>
      <w:bookmarkStart w:id="72" w:name="_Toc21179"/>
      <w:r>
        <w:rPr>
          <w:rFonts w:cs="Times New Roman"/>
          <w:color w:val="auto"/>
        </w:rPr>
        <w:t>优化营商环境</w:t>
      </w:r>
      <w:r>
        <w:rPr>
          <w:rFonts w:hint="eastAsia" w:cs="Times New Roman"/>
          <w:color w:val="auto"/>
        </w:rPr>
        <w:t xml:space="preserve"> </w:t>
      </w:r>
      <w:r>
        <w:rPr>
          <w:rFonts w:cs="Times New Roman"/>
          <w:color w:val="auto"/>
        </w:rPr>
        <w:t>助推服务业发展</w:t>
      </w:r>
      <w:bookmarkEnd w:id="71"/>
      <w:bookmarkEnd w:id="72"/>
    </w:p>
    <w:p>
      <w:pPr>
        <w:rPr>
          <w:color w:val="auto"/>
        </w:rPr>
      </w:pPr>
      <w:r>
        <w:rPr>
          <w:rFonts w:hint="eastAsia"/>
          <w:color w:val="auto"/>
        </w:rPr>
        <w:t>加大政策支持力度，助推服务业健康可持续发展，降低服务业的综合成本和税费负担。加大对服务业税收支持力度，对服务业企业和制造业企业实行相同的水价、电价、煤气价。加大对服务业发展金融支持力度。支持商业银行研究制定对“轻资产”运营的服务业企业信贷政策，缓解服务业企业贷款难、贷款贵的状况。促进服务业提质增效升级，有效满足社会需求，加强标准制定工作。充分发挥政府部门、行业协会、行业内领军企业的作用，推进标准制定，提高服务产品的品质。制定针对性强、精准的产业政策，重点发展研发设计服务、信息技术服务、物流快递服务、人力资源服务、教育培训、金融服务、商务服务等生产性服务业，重点发展电子商务、商贸流通、文化娱乐、医疗健康服务、旅游、家政服务等发展潜力大的生活性服务业。加强服务业和商业基础设施建设，加强通信、宽带网络建设，在旧城改造、新城建设中注重商业配套，为服务业发展提供支撑。</w:t>
      </w:r>
    </w:p>
    <w:p>
      <w:pPr>
        <w:ind w:left="361" w:firstLine="0" w:firstLineChars="0"/>
        <w:rPr>
          <w:color w:val="auto"/>
        </w:rPr>
      </w:pPr>
    </w:p>
    <w:bookmarkEnd w:id="63"/>
    <w:p>
      <w:pPr>
        <w:pStyle w:val="2"/>
        <w:jc w:val="center"/>
        <w:rPr>
          <w:color w:val="auto"/>
        </w:rPr>
      </w:pPr>
      <w:bookmarkStart w:id="73" w:name="_Toc845"/>
      <w:bookmarkStart w:id="74" w:name="_Toc15678"/>
      <w:r>
        <w:rPr>
          <w:rFonts w:hint="eastAsia"/>
          <w:color w:val="auto"/>
        </w:rPr>
        <w:t>第三章 建设功能完备品质城区</w:t>
      </w:r>
      <w:bookmarkEnd w:id="73"/>
      <w:bookmarkEnd w:id="74"/>
    </w:p>
    <w:p>
      <w:pPr>
        <w:rPr>
          <w:color w:val="auto"/>
        </w:rPr>
      </w:pPr>
      <w:r>
        <w:rPr>
          <w:color w:val="auto"/>
        </w:rPr>
        <w:t>坚持以人为本、城乡统筹，</w:t>
      </w:r>
      <w:r>
        <w:rPr>
          <w:rFonts w:hint="eastAsia"/>
          <w:color w:val="auto"/>
        </w:rPr>
        <w:t>坚持宽视野、高水平的原则，坚持“东融、西改、北接、南联”发展战略，</w:t>
      </w:r>
      <w:r>
        <w:rPr>
          <w:color w:val="auto"/>
        </w:rPr>
        <w:t>推进城</w:t>
      </w:r>
      <w:r>
        <w:rPr>
          <w:rFonts w:hint="eastAsia"/>
          <w:color w:val="auto"/>
        </w:rPr>
        <w:t>区</w:t>
      </w:r>
      <w:r>
        <w:rPr>
          <w:color w:val="auto"/>
        </w:rPr>
        <w:t>空间</w:t>
      </w:r>
      <w:r>
        <w:rPr>
          <w:rFonts w:hint="eastAsia"/>
          <w:color w:val="auto"/>
        </w:rPr>
        <w:t>布局</w:t>
      </w:r>
      <w:r>
        <w:rPr>
          <w:color w:val="auto"/>
        </w:rPr>
        <w:t>与经济社会协调发展</w:t>
      </w:r>
      <w:r>
        <w:rPr>
          <w:rFonts w:hint="eastAsia"/>
          <w:color w:val="auto"/>
        </w:rPr>
        <w:t>。</w:t>
      </w:r>
      <w:r>
        <w:rPr>
          <w:color w:val="auto"/>
        </w:rPr>
        <w:t>加快拓展城市</w:t>
      </w:r>
      <w:r>
        <w:rPr>
          <w:rFonts w:hint="eastAsia"/>
          <w:color w:val="auto"/>
        </w:rPr>
        <w:t>发展</w:t>
      </w:r>
      <w:r>
        <w:rPr>
          <w:color w:val="auto"/>
        </w:rPr>
        <w:t>空间，完善城市功能，有序引导</w:t>
      </w:r>
      <w:r>
        <w:rPr>
          <w:rFonts w:hint="eastAsia"/>
          <w:color w:val="auto"/>
        </w:rPr>
        <w:t>周边乡镇</w:t>
      </w:r>
      <w:r>
        <w:rPr>
          <w:color w:val="auto"/>
        </w:rPr>
        <w:t>农村人口向城镇转移，稳妥推进新型城镇化，培育城</w:t>
      </w:r>
      <w:r>
        <w:rPr>
          <w:rFonts w:hint="eastAsia"/>
          <w:color w:val="auto"/>
        </w:rPr>
        <w:t>区</w:t>
      </w:r>
      <w:r>
        <w:rPr>
          <w:color w:val="auto"/>
        </w:rPr>
        <w:t>空间均衡发展格局，着力打造人与自然和谐共生、区域协同一体化的</w:t>
      </w:r>
      <w:r>
        <w:rPr>
          <w:rFonts w:hint="eastAsia"/>
          <w:color w:val="auto"/>
        </w:rPr>
        <w:t>现代</w:t>
      </w:r>
      <w:r>
        <w:rPr>
          <w:color w:val="auto"/>
        </w:rPr>
        <w:t>之城</w:t>
      </w:r>
      <w:r>
        <w:rPr>
          <w:rFonts w:hint="eastAsia"/>
          <w:color w:val="auto"/>
        </w:rPr>
        <w:t>。</w:t>
      </w:r>
    </w:p>
    <w:p>
      <w:pPr>
        <w:pStyle w:val="3"/>
        <w:numPr>
          <w:ilvl w:val="0"/>
          <w:numId w:val="2"/>
        </w:numPr>
        <w:ind w:firstLineChars="0"/>
        <w:jc w:val="center"/>
        <w:rPr>
          <w:rFonts w:cs="Times New Roman"/>
          <w:color w:val="auto"/>
        </w:rPr>
      </w:pPr>
      <w:bookmarkStart w:id="75" w:name="_Toc1007"/>
      <w:bookmarkStart w:id="76" w:name="_Toc29228"/>
      <w:r>
        <w:rPr>
          <w:rFonts w:cs="Times New Roman"/>
          <w:color w:val="auto"/>
        </w:rPr>
        <w:t>优化空间发展布局</w:t>
      </w:r>
      <w:bookmarkEnd w:id="75"/>
      <w:bookmarkEnd w:id="76"/>
    </w:p>
    <w:p>
      <w:pPr>
        <w:rPr>
          <w:color w:val="auto"/>
        </w:rPr>
      </w:pPr>
      <w:r>
        <w:rPr>
          <w:rFonts w:hint="eastAsia"/>
          <w:color w:val="auto"/>
        </w:rPr>
        <w:t>坚持生态优先的原则，结合未来高质量发展要求，</w:t>
      </w:r>
      <w:r>
        <w:rPr>
          <w:color w:val="auto"/>
          <w:shd w:val="clear" w:color="auto" w:fill="FFFFFF"/>
        </w:rPr>
        <w:t>以新发展理念为指导，</w:t>
      </w:r>
      <w:r>
        <w:rPr>
          <w:rFonts w:hint="eastAsia"/>
          <w:color w:val="auto"/>
        </w:rPr>
        <w:t>积极融入黄石“一心两带、多点支撑、全域一体”和大冶市“双区引领、五园支撑、多点开花”的全域发展格局，抢抓武汉城市圈同城化发展机遇，加快构建“</w:t>
      </w:r>
      <w:r>
        <w:rPr>
          <w:color w:val="auto"/>
        </w:rPr>
        <w:t>一心</w:t>
      </w:r>
      <w:r>
        <w:rPr>
          <w:rFonts w:hint="eastAsia"/>
          <w:color w:val="auto"/>
        </w:rPr>
        <w:t>引领，两区支撑，全域共荣”的空间发展战略格局。</w:t>
      </w:r>
    </w:p>
    <w:p>
      <w:pPr>
        <w:ind w:firstLine="803" w:firstLineChars="250"/>
        <w:rPr>
          <w:color w:val="auto"/>
        </w:rPr>
      </w:pPr>
      <w:r>
        <w:rPr>
          <w:b/>
          <w:bCs/>
          <w:color w:val="auto"/>
        </w:rPr>
        <w:t>“一心</w:t>
      </w:r>
      <w:r>
        <w:rPr>
          <w:rFonts w:hint="eastAsia"/>
          <w:b/>
          <w:bCs/>
          <w:color w:val="auto"/>
        </w:rPr>
        <w:t>引领</w:t>
      </w:r>
      <w:r>
        <w:rPr>
          <w:b/>
          <w:bCs/>
          <w:color w:val="auto"/>
        </w:rPr>
        <w:t>”</w:t>
      </w:r>
      <w:r>
        <w:rPr>
          <w:rFonts w:hint="eastAsia"/>
          <w:color w:val="auto"/>
        </w:rPr>
        <w:t>。即东岳路街办老城区，大冶市的政治、经济、文化、社会服务和商贸服务中心，重点发展金融、文化旅游、信息服务等现代服务业。以旧城改造、商贸服务业升级为重点，打造社会管理创新区和社会公共服务示范区。统筹区域协同配套，大力发展商贸服务业、电子信息产业，实现商贸服务业高质量发展，持续强化商贸服务中心地位。</w:t>
      </w:r>
    </w:p>
    <w:p>
      <w:pPr>
        <w:ind w:firstLine="643"/>
        <w:rPr>
          <w:color w:val="auto"/>
        </w:rPr>
      </w:pPr>
      <w:r>
        <w:rPr>
          <w:b/>
          <w:bCs/>
          <w:color w:val="auto"/>
        </w:rPr>
        <w:t>“</w:t>
      </w:r>
      <w:r>
        <w:rPr>
          <w:rFonts w:hint="eastAsia"/>
          <w:b/>
          <w:bCs/>
          <w:color w:val="auto"/>
        </w:rPr>
        <w:t>两区支撑</w:t>
      </w:r>
      <w:r>
        <w:rPr>
          <w:b/>
          <w:bCs/>
          <w:color w:val="auto"/>
        </w:rPr>
        <w:t>”</w:t>
      </w:r>
      <w:r>
        <w:rPr>
          <w:rFonts w:hint="eastAsia"/>
          <w:b/>
          <w:bCs/>
          <w:color w:val="auto"/>
        </w:rPr>
        <w:t>。</w:t>
      </w:r>
      <w:r>
        <w:rPr>
          <w:rFonts w:hint="eastAsia"/>
          <w:bCs/>
          <w:color w:val="auto"/>
        </w:rPr>
        <w:t>即</w:t>
      </w:r>
      <w:r>
        <w:rPr>
          <w:rFonts w:hint="eastAsia"/>
          <w:color w:val="auto"/>
        </w:rPr>
        <w:t>城东北高铁沿线片区和尹家湖生态文旅片区。城东北高铁沿线片区是城市功能拓展区，承担缓解老城区拥堵、基础设施紧张等问题的功能。大力发展商贸服务、电子信息等产业，适度进行房地产开发和学校、医院等设施建设。依托大冶北站的交通优势、区位优势，大力发展高铁经济。尹家湖生态文旅片区集生态保护、风景观光、游乐休憩、医疗养生、文化展示、商务会展等功能于一体。大力推进生态保护，加快商贸服务、康养医疗、文化休闲产业建设，打造滨湖宜居生态新城。</w:t>
      </w:r>
    </w:p>
    <w:p>
      <w:pPr>
        <w:ind w:firstLine="643"/>
        <w:rPr>
          <w:color w:val="auto"/>
        </w:rPr>
      </w:pPr>
      <w:r>
        <w:rPr>
          <w:b/>
          <w:bCs/>
          <w:color w:val="auto"/>
        </w:rPr>
        <w:t>“</w:t>
      </w:r>
      <w:r>
        <w:rPr>
          <w:rFonts w:hint="eastAsia"/>
          <w:b/>
          <w:bCs/>
          <w:color w:val="auto"/>
        </w:rPr>
        <w:t>全域共荣</w:t>
      </w:r>
      <w:r>
        <w:rPr>
          <w:b/>
          <w:bCs/>
          <w:color w:val="auto"/>
        </w:rPr>
        <w:t>”</w:t>
      </w:r>
      <w:r>
        <w:rPr>
          <w:rFonts w:hint="eastAsia"/>
          <w:b/>
          <w:bCs/>
          <w:color w:val="auto"/>
        </w:rPr>
        <w:t>。</w:t>
      </w:r>
      <w:r>
        <w:rPr>
          <w:rFonts w:hint="eastAsia"/>
          <w:color w:val="auto"/>
        </w:rPr>
        <w:t>加大对全域</w:t>
      </w:r>
      <w:r>
        <w:rPr>
          <w:color w:val="auto"/>
        </w:rPr>
        <w:t>公共资源配置力度，统筹推进道路、广场、绿地、地下管网建设，加大教育、医疗、</w:t>
      </w:r>
      <w:r>
        <w:rPr>
          <w:rFonts w:hint="eastAsia"/>
          <w:color w:val="auto"/>
        </w:rPr>
        <w:t>5</w:t>
      </w:r>
      <w:r>
        <w:rPr>
          <w:color w:val="auto"/>
        </w:rPr>
        <w:t>G</w:t>
      </w:r>
      <w:r>
        <w:rPr>
          <w:rFonts w:hint="eastAsia"/>
          <w:color w:val="auto"/>
        </w:rPr>
        <w:t>通信、</w:t>
      </w:r>
      <w:r>
        <w:rPr>
          <w:color w:val="auto"/>
        </w:rPr>
        <w:t>文体基础设施配套力度，构建安全高效的市政公用设施网络，大力发展绿色建筑、低碳建筑等环保建筑模式</w:t>
      </w:r>
      <w:r>
        <w:rPr>
          <w:rFonts w:hint="eastAsia"/>
          <w:color w:val="auto"/>
        </w:rPr>
        <w:t>。依托尹家湖片区建设和城市更新改造为契机，努力将东岳路街办打造成大冶市的</w:t>
      </w:r>
      <w:r>
        <w:rPr>
          <w:rFonts w:hint="eastAsia"/>
          <w:color w:val="auto"/>
          <w:szCs w:val="32"/>
        </w:rPr>
        <w:t>商业娱乐中心、高端商务中心、健康医疗中心</w:t>
      </w:r>
      <w:r>
        <w:rPr>
          <w:color w:val="auto"/>
          <w:szCs w:val="32"/>
        </w:rPr>
        <w:t>。</w:t>
      </w:r>
    </w:p>
    <w:p>
      <w:pPr>
        <w:pStyle w:val="3"/>
        <w:numPr>
          <w:ilvl w:val="0"/>
          <w:numId w:val="2"/>
        </w:numPr>
        <w:ind w:firstLineChars="0"/>
        <w:jc w:val="center"/>
        <w:rPr>
          <w:rFonts w:cs="Times New Roman"/>
          <w:color w:val="auto"/>
        </w:rPr>
      </w:pPr>
      <w:bookmarkStart w:id="77" w:name="_Toc29914"/>
      <w:bookmarkStart w:id="78" w:name="_Toc21403"/>
      <w:r>
        <w:rPr>
          <w:rFonts w:cs="Times New Roman"/>
          <w:color w:val="auto"/>
        </w:rPr>
        <w:t>推进空间融合</w:t>
      </w:r>
      <w:bookmarkEnd w:id="77"/>
      <w:bookmarkEnd w:id="78"/>
      <w:r>
        <w:rPr>
          <w:rFonts w:hint="eastAsia" w:cs="Times New Roman"/>
          <w:color w:val="auto"/>
        </w:rPr>
        <w:t>发展</w:t>
      </w:r>
    </w:p>
    <w:p>
      <w:pPr>
        <w:ind w:firstLine="643"/>
        <w:rPr>
          <w:color w:val="auto"/>
        </w:rPr>
      </w:pPr>
      <w:r>
        <w:rPr>
          <w:rFonts w:hint="eastAsia"/>
          <w:b/>
          <w:bCs/>
          <w:color w:val="auto"/>
        </w:rPr>
        <w:t>城东积极融入环大冶湖生态新区。</w:t>
      </w:r>
      <w:r>
        <w:rPr>
          <w:color w:val="auto"/>
        </w:rPr>
        <w:t>抢抓大冶湖生态新区建设机遇，积极融入黄石-大冶-阳新一体化发展格局，坚持人口和用地相匹配，城镇规模与资源环境承载力相适应的原则，</w:t>
      </w:r>
      <w:r>
        <w:rPr>
          <w:rFonts w:hint="eastAsia"/>
          <w:color w:val="auto"/>
        </w:rPr>
        <w:t>大力推进城东北地区开发建设，合理规划城市发展空间，积极引进高端服务业项目</w:t>
      </w:r>
      <w:r>
        <w:rPr>
          <w:color w:val="auto"/>
        </w:rPr>
        <w:t>。</w:t>
      </w:r>
      <w:r>
        <w:rPr>
          <w:rFonts w:hint="eastAsia"/>
          <w:color w:val="auto"/>
        </w:rPr>
        <w:t>重点推进总部经济和会展经济的发展，依托筑巢引凤工程，吸引</w:t>
      </w:r>
      <w:r>
        <w:rPr>
          <w:color w:val="auto"/>
          <w:szCs w:val="32"/>
        </w:rPr>
        <w:t>“大冶籍在外企业、外地战略布局型企业”等两类总部资源</w:t>
      </w:r>
      <w:r>
        <w:rPr>
          <w:rFonts w:hint="eastAsia"/>
          <w:color w:val="auto"/>
          <w:szCs w:val="32"/>
        </w:rPr>
        <w:t>的集聚。</w:t>
      </w:r>
      <w:r>
        <w:rPr>
          <w:rFonts w:hint="eastAsia"/>
          <w:color w:val="auto"/>
        </w:rPr>
        <w:t>稳步落实“恒达欢乐大世界”二期、城东北片区商业综合体、恒达养生谷、芳香城市综合体、妇幼保健院整体搬迁等重点项目的落地，对</w:t>
      </w:r>
      <w:r>
        <w:rPr>
          <w:rFonts w:eastAsia="仿宋"/>
          <w:color w:val="auto"/>
          <w:szCs w:val="32"/>
        </w:rPr>
        <w:t>廊桥进行合理规划，打造廊桥餐饮“一条街”，</w:t>
      </w:r>
      <w:r>
        <w:rPr>
          <w:rFonts w:hint="eastAsia"/>
          <w:color w:val="auto"/>
        </w:rPr>
        <w:t>构建集餐饮、休闲、娱乐和养生于一体的高品质商贸服务新城。</w:t>
      </w:r>
    </w:p>
    <w:p>
      <w:pPr>
        <w:ind w:firstLine="643"/>
        <w:rPr>
          <w:rFonts w:eastAsia="仿宋"/>
          <w:color w:val="auto"/>
          <w:szCs w:val="32"/>
        </w:rPr>
      </w:pPr>
      <w:r>
        <w:rPr>
          <w:rFonts w:hint="eastAsia"/>
          <w:b/>
          <w:bCs/>
          <w:color w:val="auto"/>
        </w:rPr>
        <w:t>城西路片区重点改造老旧城区。</w:t>
      </w:r>
      <w:r>
        <w:rPr>
          <w:rFonts w:hint="eastAsia"/>
          <w:color w:val="auto"/>
        </w:rPr>
        <w:t>加快推进城西路片区旧城改造项目，实现交通、污水管网、供水、供电、供气以及通信等基础设施的更新换代。对拆改地区重新合理规划用地，增加绿化、停车场、游园等设施，进一步完善城镇空间功能布局，满足人民生活便利的需求。依托城西路片区改造，加大天子湖防洪防汛基础设施建设和沿湖景观建设，将老旧的城西路打造成大冶市的城市风景线，带动周边商服业的发展。以炕头至青龙路为标段，对政府家属区等老旧小区进行升级改造，推进以人为核心的民生工程。推动兰园项目、绿城项目落地，构筑宜居宜业的城乡发展新格局，打造优美城市空间。</w:t>
      </w:r>
    </w:p>
    <w:p>
      <w:pPr>
        <w:ind w:firstLine="643"/>
        <w:rPr>
          <w:color w:val="auto"/>
        </w:rPr>
      </w:pPr>
      <w:r>
        <w:rPr>
          <w:rFonts w:hint="eastAsia"/>
          <w:b/>
          <w:bCs/>
          <w:color w:val="auto"/>
        </w:rPr>
        <w:t>城北积极对接大冶湖国家高新区。</w:t>
      </w:r>
      <w:r>
        <w:rPr>
          <w:rFonts w:hint="eastAsia"/>
          <w:color w:val="auto"/>
        </w:rPr>
        <w:t>统筹东岳路街办与高新区产业布局和城市功能布局，合理规划产业与城市功能，充分利用高新区“产业溢出”效应，积极推进东岳路街办与大冶高新区融合发展，大力引进生命健康、节能环保、电子信息等高新技术产业和战略性新兴产业，稳步推进现代商务业的发展，推动传统服务业向高新技术服务业升级换代，实现区域间协同共进。有力促进园博大道与黄石园博园对接，奥体大道与黄石奥体中心对接，进一步推动区域间的融合。</w:t>
      </w:r>
    </w:p>
    <w:p>
      <w:pPr>
        <w:ind w:firstLine="643"/>
        <w:rPr>
          <w:color w:val="auto"/>
        </w:rPr>
      </w:pPr>
      <w:r>
        <w:rPr>
          <w:rFonts w:hint="eastAsia"/>
          <w:b/>
          <w:bCs/>
          <w:color w:val="auto"/>
        </w:rPr>
        <w:t>城南联合大箕铺镇和金湖街办，融入熊家洲片区。</w:t>
      </w:r>
      <w:r>
        <w:rPr>
          <w:rFonts w:hint="eastAsia"/>
          <w:color w:val="auto"/>
        </w:rPr>
        <w:t>充分利用城南地区水陆交通便利、生态环境优良、距离中心城区近等优势，着力发展建筑与房地产业。依托大冶市熊家洲片区的开发建设，重点</w:t>
      </w:r>
      <w:r>
        <w:rPr>
          <w:color w:val="auto"/>
        </w:rPr>
        <w:t>支持碧桂园等龙头企业</w:t>
      </w:r>
      <w:r>
        <w:rPr>
          <w:rFonts w:hint="eastAsia"/>
          <w:color w:val="auto"/>
        </w:rPr>
        <w:t>房地产开发项目，</w:t>
      </w:r>
      <w:r>
        <w:rPr>
          <w:color w:val="auto"/>
        </w:rPr>
        <w:t>加快低密度、环保型住宅小区开发建设，</w:t>
      </w:r>
      <w:r>
        <w:rPr>
          <w:rFonts w:hint="eastAsia"/>
          <w:color w:val="auto"/>
        </w:rPr>
        <w:t>不断完善市政公共服务设施的建设，打造成生态宜居、生活便利的高档住宅区。</w:t>
      </w:r>
    </w:p>
    <w:p>
      <w:pPr>
        <w:pStyle w:val="3"/>
        <w:numPr>
          <w:ilvl w:val="0"/>
          <w:numId w:val="2"/>
        </w:numPr>
        <w:ind w:firstLineChars="0"/>
        <w:jc w:val="center"/>
        <w:rPr>
          <w:rFonts w:cs="Times New Roman"/>
          <w:color w:val="auto"/>
        </w:rPr>
      </w:pPr>
      <w:bookmarkStart w:id="79" w:name="_Toc5641"/>
      <w:bookmarkStart w:id="80" w:name="_Toc9956"/>
      <w:r>
        <w:rPr>
          <w:rFonts w:cs="Times New Roman"/>
          <w:color w:val="auto"/>
        </w:rPr>
        <w:t>统筹</w:t>
      </w:r>
      <w:r>
        <w:rPr>
          <w:rFonts w:hint="eastAsia" w:cs="Times New Roman"/>
          <w:color w:val="auto"/>
        </w:rPr>
        <w:t>实施</w:t>
      </w:r>
      <w:r>
        <w:rPr>
          <w:rFonts w:cs="Times New Roman"/>
          <w:color w:val="auto"/>
        </w:rPr>
        <w:t>城市更新</w:t>
      </w:r>
      <w:bookmarkEnd w:id="79"/>
      <w:bookmarkEnd w:id="80"/>
    </w:p>
    <w:p>
      <w:pPr>
        <w:pStyle w:val="4"/>
        <w:adjustRightInd w:val="0"/>
        <w:snapToGrid/>
        <w:spacing w:before="0" w:beforeLines="0" w:after="0" w:afterLines="0"/>
        <w:contextualSpacing w:val="0"/>
        <w:rPr>
          <w:rFonts w:ascii="Times New Roman" w:hAnsi="Times New Roman" w:cs="Times New Roman"/>
          <w:color w:val="auto"/>
        </w:rPr>
      </w:pPr>
      <w:bookmarkStart w:id="81" w:name="_Toc61625575"/>
      <w:bookmarkStart w:id="82" w:name="_Toc10936"/>
      <w:bookmarkStart w:id="83" w:name="_Toc9306"/>
      <w:r>
        <w:rPr>
          <w:rFonts w:hint="eastAsia" w:ascii="Times New Roman" w:hAnsi="Times New Roman" w:cs="Times New Roman"/>
          <w:color w:val="auto"/>
        </w:rPr>
        <w:t>一、提升城市功能</w:t>
      </w:r>
      <w:bookmarkEnd w:id="81"/>
      <w:r>
        <w:rPr>
          <w:rFonts w:hint="eastAsia" w:ascii="Times New Roman" w:hAnsi="Times New Roman" w:cs="Times New Roman"/>
          <w:color w:val="auto"/>
        </w:rPr>
        <w:t>品质</w:t>
      </w:r>
      <w:bookmarkEnd w:id="82"/>
      <w:bookmarkEnd w:id="83"/>
    </w:p>
    <w:p>
      <w:pPr>
        <w:ind w:firstLine="643"/>
        <w:rPr>
          <w:rFonts w:eastAsia="仿宋"/>
          <w:color w:val="auto"/>
          <w:kern w:val="0"/>
          <w:szCs w:val="32"/>
        </w:rPr>
      </w:pPr>
      <w:r>
        <w:rPr>
          <w:rFonts w:hint="eastAsia"/>
          <w:b/>
          <w:bCs/>
          <w:color w:val="auto"/>
        </w:rPr>
        <w:t>加快旧城改造。</w:t>
      </w:r>
      <w:r>
        <w:rPr>
          <w:rFonts w:hint="eastAsia"/>
          <w:color w:val="auto"/>
        </w:rPr>
        <w:t>对标大冶市</w:t>
      </w:r>
      <w:r>
        <w:rPr>
          <w:rFonts w:eastAsia="仿宋"/>
          <w:color w:val="auto"/>
          <w:kern w:val="0"/>
          <w:szCs w:val="32"/>
        </w:rPr>
        <w:t>国家新型城镇化示范县城建设，到2025年，完成现有城镇老旧小区、棚户区、城中村和危房改造目标。</w:t>
      </w:r>
      <w:r>
        <w:rPr>
          <w:rFonts w:hint="eastAsia"/>
          <w:color w:val="auto"/>
        </w:rPr>
        <w:t>以五星社区和武备社区为改造重点，对环境条件较差、消防安全隐患多、配套设施不全或破损严重等短期无法纳入拆迁改造的小区实施改造。建立健全长效管理机制，确定小区管理模式，</w:t>
      </w:r>
      <w:r>
        <w:rPr>
          <w:color w:val="auto"/>
          <w:shd w:val="clear" w:color="auto" w:fill="FFFFFF"/>
        </w:rPr>
        <w:t>以完善水、电、气、路、信等配套基础设施为切入点，完善养老托育、停车、便民市场等公共设施，统筹推进管网、供排水、安防、消防、环境等设施的改造。重点推进老旧小区电路改造、背街小巷路灯完善、供水排水设施改造等项目。结合小区现状和群众意愿，因地制宜推进老旧厂区、老旧街道的改造，切实改善群众的居住条件。</w:t>
      </w:r>
    </w:p>
    <w:p>
      <w:pPr>
        <w:ind w:firstLine="643"/>
        <w:rPr>
          <w:color w:val="auto"/>
        </w:rPr>
      </w:pPr>
      <w:r>
        <w:rPr>
          <w:rFonts w:hint="eastAsia"/>
          <w:b/>
          <w:bCs/>
          <w:color w:val="auto"/>
        </w:rPr>
        <w:t>推进城市开发</w:t>
      </w:r>
      <w:r>
        <w:rPr>
          <w:rFonts w:hint="eastAsia"/>
          <w:color w:val="auto"/>
        </w:rPr>
        <w:t>。坚持以人为本、产城互动的原则，统筹推进“四大片区”开发战略目标，适度推进城市外延，抓好城东北片区的征地拆迁工作，保证各项重点工程有序推进。着力推进老城区和棚户区改造，完善旧城区基础设施建设，继续推进永胜社区道路规划等项目。</w:t>
      </w:r>
    </w:p>
    <w:p>
      <w:pPr>
        <w:ind w:firstLine="643"/>
        <w:rPr>
          <w:color w:val="auto"/>
        </w:rPr>
      </w:pPr>
      <w:r>
        <w:rPr>
          <w:rFonts w:hint="eastAsia"/>
          <w:b/>
          <w:bCs/>
          <w:color w:val="auto"/>
        </w:rPr>
        <w:t>建设智慧城市</w:t>
      </w:r>
      <w:r>
        <w:rPr>
          <w:rFonts w:hint="eastAsia"/>
          <w:color w:val="auto"/>
        </w:rPr>
        <w:t>。支持传统基建的网络化、数字化、智能化融合，全面整合城区数据资源和网络资源，升级各类非涉密专网，系统建设东岳大数据和网络管理中心，搭建东岳空间地理平台、视频共享信息平台，构建一体化基础支撑体系，加快</w:t>
      </w:r>
      <w:r>
        <w:rPr>
          <w:rFonts w:hint="eastAsia"/>
          <w:color w:val="auto"/>
          <w:shd w:val="clear" w:color="auto" w:fill="FFFFFF"/>
        </w:rPr>
        <w:t>智能交通、智能电网、智能水务、智能管网、智能园区建设，建设智慧东岳。</w:t>
      </w:r>
    </w:p>
    <w:p>
      <w:pPr>
        <w:ind w:firstLine="643"/>
        <w:rPr>
          <w:color w:val="auto"/>
          <w:shd w:val="clear" w:color="auto" w:fill="FFFFFF"/>
        </w:rPr>
      </w:pPr>
      <w:r>
        <w:rPr>
          <w:rFonts w:hint="eastAsia"/>
          <w:b/>
          <w:bCs/>
          <w:color w:val="auto"/>
        </w:rPr>
        <w:t>建设海绵城市和韧性城市</w:t>
      </w:r>
      <w:r>
        <w:rPr>
          <w:rFonts w:eastAsia="楷体_GB2312"/>
          <w:color w:val="auto"/>
          <w:shd w:val="clear" w:color="auto" w:fill="FFFFFF"/>
        </w:rPr>
        <w:t>。</w:t>
      </w:r>
      <w:r>
        <w:rPr>
          <w:rFonts w:hint="eastAsia"/>
          <w:color w:val="auto"/>
          <w:shd w:val="clear" w:color="auto" w:fill="FFFFFF"/>
        </w:rPr>
        <w:t>实现老城区结合棚户区、危房改造和老旧小区有机更新，妥善解决城市防洪安全、雨水收集利用、黑臭水体治理等问题。加强海绵型建筑与小区、海绵型道路与广场、海绵型公园与绿地、绿色蓄排与净化利用设施等建设。加强自然水系保护与生态修复，切实保护良好水体和饮用水源。</w:t>
      </w:r>
    </w:p>
    <w:p>
      <w:pPr>
        <w:pStyle w:val="4"/>
        <w:adjustRightInd w:val="0"/>
        <w:snapToGrid/>
        <w:spacing w:before="0" w:beforeLines="0" w:after="0" w:afterLines="0"/>
        <w:contextualSpacing w:val="0"/>
        <w:rPr>
          <w:rFonts w:ascii="Times New Roman" w:hAnsi="Times New Roman" w:cs="Times New Roman"/>
          <w:color w:val="auto"/>
        </w:rPr>
      </w:pPr>
      <w:bookmarkStart w:id="84" w:name="_Toc61625576"/>
      <w:bookmarkStart w:id="85" w:name="_Toc31433"/>
      <w:bookmarkStart w:id="86" w:name="_Toc14546"/>
      <w:r>
        <w:rPr>
          <w:rFonts w:hint="eastAsia" w:ascii="Times New Roman" w:hAnsi="Times New Roman" w:cs="Times New Roman"/>
          <w:color w:val="auto"/>
        </w:rPr>
        <w:t>二、优化城市公共服务</w:t>
      </w:r>
      <w:bookmarkEnd w:id="84"/>
      <w:bookmarkEnd w:id="85"/>
      <w:bookmarkEnd w:id="86"/>
    </w:p>
    <w:p>
      <w:pPr>
        <w:ind w:firstLine="643"/>
        <w:rPr>
          <w:rStyle w:val="19"/>
          <w:color w:val="auto"/>
        </w:rPr>
      </w:pPr>
      <w:r>
        <w:rPr>
          <w:rStyle w:val="19"/>
          <w:color w:val="auto"/>
          <w:shd w:val="clear" w:color="auto" w:fill="FFFFFF"/>
        </w:rPr>
        <w:t>增强社区综合服务功能。</w:t>
      </w:r>
      <w:r>
        <w:rPr>
          <w:rStyle w:val="19"/>
          <w:b w:val="0"/>
          <w:bCs w:val="0"/>
          <w:color w:val="auto"/>
          <w:shd w:val="clear" w:color="auto" w:fill="FFFFFF"/>
        </w:rPr>
        <w:t>以社区为基础，提升城市的</w:t>
      </w:r>
      <w:r>
        <w:rPr>
          <w:rStyle w:val="19"/>
          <w:rFonts w:hint="eastAsia"/>
          <w:b w:val="0"/>
          <w:bCs w:val="0"/>
          <w:color w:val="auto"/>
          <w:shd w:val="clear" w:color="auto" w:fill="FFFFFF"/>
        </w:rPr>
        <w:t>综合</w:t>
      </w:r>
      <w:r>
        <w:rPr>
          <w:rStyle w:val="19"/>
          <w:b w:val="0"/>
          <w:bCs w:val="0"/>
          <w:color w:val="auto"/>
          <w:shd w:val="clear" w:color="auto" w:fill="FFFFFF"/>
        </w:rPr>
        <w:t>治理水平，</w:t>
      </w:r>
      <w:r>
        <w:rPr>
          <w:color w:val="auto"/>
          <w:shd w:val="clear" w:color="auto" w:fill="FFFFFF"/>
        </w:rPr>
        <w:t>推动城市政府向服务型转变，治理方式向精细化转型，配套资源向街道社区下沉，建设集基本和非基本公共服务等功能于一体的美好生活服务站。继续推进“厕所革命”和垃圾分类，补齐公共卫生短板，全面加强环境治理，改善社区人居环境。推进智慧城市建设，完善智能化、精细化的城市管理平台，</w:t>
      </w:r>
      <w:r>
        <w:rPr>
          <w:rFonts w:hint="eastAsia"/>
          <w:color w:val="auto"/>
        </w:rPr>
        <w:t>建设和谐、文明、幸福社区。</w:t>
      </w:r>
    </w:p>
    <w:p>
      <w:pPr>
        <w:ind w:firstLine="643"/>
        <w:rPr>
          <w:color w:val="auto"/>
        </w:rPr>
      </w:pPr>
      <w:r>
        <w:rPr>
          <w:rStyle w:val="19"/>
          <w:color w:val="auto"/>
          <w:shd w:val="clear" w:color="auto" w:fill="FFFFFF"/>
        </w:rPr>
        <w:t>健全公共服务体系。</w:t>
      </w:r>
      <w:r>
        <w:rPr>
          <w:rFonts w:hint="eastAsia"/>
          <w:color w:val="auto"/>
          <w:shd w:val="clear" w:color="auto" w:fill="FFFFFF"/>
        </w:rPr>
        <w:t>注重加强普惠性、基础性、兜底性民生建设，</w:t>
      </w:r>
      <w:r>
        <w:rPr>
          <w:color w:val="auto"/>
          <w:shd w:val="clear" w:color="auto" w:fill="FFFFFF"/>
        </w:rPr>
        <w:t>完善覆盖全民的社会保障体系。健全有利于更充分更高质量就业的促进机制，实施就业优先政策，创造更多就业岗位，完善重点群体就业支持体系</w:t>
      </w:r>
      <w:r>
        <w:rPr>
          <w:rFonts w:hint="eastAsia"/>
          <w:color w:val="auto"/>
          <w:shd w:val="clear" w:color="auto" w:fill="FFFFFF"/>
        </w:rPr>
        <w:t>。</w:t>
      </w:r>
      <w:r>
        <w:rPr>
          <w:rFonts w:hint="eastAsia"/>
          <w:color w:val="auto"/>
        </w:rPr>
        <w:t>坚持在发展中保障和改善民生，大力推进</w:t>
      </w:r>
      <w:r>
        <w:rPr>
          <w:color w:val="auto"/>
          <w:shd w:val="clear" w:color="auto" w:fill="FFFFFF"/>
        </w:rPr>
        <w:t>基本公共服务的“均等化”目标，</w:t>
      </w:r>
      <w:r>
        <w:rPr>
          <w:rFonts w:hint="eastAsia"/>
          <w:color w:val="auto"/>
        </w:rPr>
        <w:t>打造“七有”领域民生建设，增强人民获得感、幸福感、安全感。</w:t>
      </w:r>
    </w:p>
    <w:p>
      <w:pPr>
        <w:pStyle w:val="3"/>
        <w:ind w:firstLine="2037" w:firstLineChars="566"/>
        <w:rPr>
          <w:rFonts w:cs="Times New Roman"/>
          <w:color w:val="auto"/>
        </w:rPr>
      </w:pPr>
      <w:bookmarkStart w:id="87" w:name="_Toc19312"/>
      <w:bookmarkStart w:id="88" w:name="_Toc11469"/>
      <w:r>
        <w:rPr>
          <w:rFonts w:cs="Times New Roman"/>
          <w:color w:val="auto"/>
        </w:rPr>
        <w:t>第四节 持续推进基础设施建设</w:t>
      </w:r>
      <w:bookmarkEnd w:id="87"/>
      <w:bookmarkEnd w:id="88"/>
    </w:p>
    <w:p>
      <w:pPr>
        <w:autoSpaceDE w:val="0"/>
        <w:autoSpaceDN w:val="0"/>
        <w:adjustRightInd w:val="0"/>
        <w:ind w:right="-160" w:rightChars="-50"/>
        <w:rPr>
          <w:color w:val="auto"/>
        </w:rPr>
      </w:pPr>
      <w:r>
        <w:rPr>
          <w:rFonts w:hint="eastAsia"/>
          <w:color w:val="auto"/>
        </w:rPr>
        <w:t>按照“适度超前、优化布局、完善网络、提升质量”的要求，加强枢纽性、功能性、网络化的重大基础设施建设，实施城乡道路绿色交通、供排水、燃气热力、民生建设、旧城功能体系、地下综合管廊、信息网络七大体系建设工程，提升城市综合承载能力。</w:t>
      </w:r>
    </w:p>
    <w:p>
      <w:pPr>
        <w:ind w:firstLine="643"/>
        <w:rPr>
          <w:b/>
          <w:color w:val="auto"/>
        </w:rPr>
      </w:pPr>
      <w:r>
        <w:rPr>
          <w:rFonts w:hint="eastAsia"/>
          <w:b/>
          <w:color w:val="auto"/>
        </w:rPr>
        <w:t>不断完善道路交通网络体系。</w:t>
      </w:r>
      <w:r>
        <w:rPr>
          <w:rFonts w:hint="eastAsia"/>
          <w:bCs/>
          <w:color w:val="auto"/>
        </w:rPr>
        <w:t>以大冶市武黄城际铁路大冶北站至咸黄高速大箕铺互通公路一级公路等项目为契机，持续完善道路交通体系，形成城市立体综合交通网络。实施城市道路升级改造，完成所有主次干道刷黑改造，加大背街小巷道路升级改造，打造城市微循环。</w:t>
      </w:r>
    </w:p>
    <w:p>
      <w:pPr>
        <w:ind w:firstLine="643"/>
        <w:rPr>
          <w:bCs/>
          <w:color w:val="auto"/>
          <w:szCs w:val="32"/>
        </w:rPr>
      </w:pPr>
      <w:r>
        <w:rPr>
          <w:rFonts w:hint="eastAsia"/>
          <w:b/>
          <w:color w:val="auto"/>
          <w:szCs w:val="32"/>
        </w:rPr>
        <w:t>加快进行环卫基础设施建设。</w:t>
      </w:r>
      <w:r>
        <w:rPr>
          <w:rFonts w:hint="eastAsia"/>
          <w:bCs/>
          <w:color w:val="auto"/>
          <w:szCs w:val="32"/>
        </w:rPr>
        <w:t>以持续创建国家卫生城市为抓手，全面加强城市清扫保洁和规范管理，新建</w:t>
      </w:r>
      <w:r>
        <w:rPr>
          <w:color w:val="auto"/>
          <w:szCs w:val="32"/>
        </w:rPr>
        <w:t>环卫机械设备、</w:t>
      </w:r>
      <w:r>
        <w:rPr>
          <w:rFonts w:hint="eastAsia"/>
          <w:bCs/>
          <w:color w:val="auto"/>
          <w:szCs w:val="32"/>
        </w:rPr>
        <w:t>公厕、垃圾中转站等环卫基础设施，适度加快购置环卫车辆，进一步增强环卫工作机械化作业能力。</w:t>
      </w:r>
    </w:p>
    <w:p>
      <w:pPr>
        <w:ind w:firstLine="643"/>
        <w:rPr>
          <w:color w:val="auto"/>
        </w:rPr>
      </w:pPr>
      <w:r>
        <w:rPr>
          <w:rFonts w:hint="eastAsia"/>
          <w:b/>
          <w:bCs/>
          <w:color w:val="auto"/>
        </w:rPr>
        <w:t>统筹推进管网基础设施建设。</w:t>
      </w:r>
      <w:r>
        <w:rPr>
          <w:rFonts w:hint="eastAsia"/>
          <w:color w:val="auto"/>
        </w:rPr>
        <w:t>坚持“管网适当超前”的原则，以建设污水管网和实现老城区雨污分流改造为重点，加快城市防涝排渍建设，提高城市抵御渍涝灾害的能力。</w:t>
      </w:r>
    </w:p>
    <w:p>
      <w:pPr>
        <w:ind w:firstLine="643"/>
        <w:rPr>
          <w:color w:val="auto"/>
          <w:spacing w:val="6"/>
        </w:rPr>
      </w:pPr>
      <w:r>
        <w:rPr>
          <w:rFonts w:hint="eastAsia"/>
          <w:b/>
          <w:color w:val="auto"/>
        </w:rPr>
        <w:t>持续优化水利基础设施建设。</w:t>
      </w:r>
      <w:r>
        <w:rPr>
          <w:color w:val="auto"/>
        </w:rPr>
        <w:t>加强河湖排污口的监管，</w:t>
      </w:r>
      <w:r>
        <w:rPr>
          <w:rFonts w:hint="eastAsia"/>
          <w:color w:val="auto"/>
        </w:rPr>
        <w:t>严抓</w:t>
      </w:r>
      <w:r>
        <w:rPr>
          <w:color w:val="auto"/>
        </w:rPr>
        <w:t>河道、湖泊岸线侵占、乱堆、乱建问题</w:t>
      </w:r>
      <w:r>
        <w:rPr>
          <w:rFonts w:hint="eastAsia"/>
          <w:color w:val="auto"/>
        </w:rPr>
        <w:t>。</w:t>
      </w:r>
      <w:r>
        <w:rPr>
          <w:color w:val="auto"/>
        </w:rPr>
        <w:t>做好生活污水、工业企业生产废水的收集处理工作，切实解决入湖入河污染的问题。</w:t>
      </w:r>
      <w:r>
        <w:rPr>
          <w:rFonts w:hint="eastAsia"/>
          <w:color w:val="auto"/>
          <w:spacing w:val="6"/>
        </w:rPr>
        <w:t>大力实施三里七湖老闸改造项目，加高大冶湖1号桥至三里七湖段堤防，按照</w:t>
      </w:r>
      <w:r>
        <w:rPr>
          <w:color w:val="auto"/>
        </w:rPr>
        <w:t>100年一遇防洪标准达标建设</w:t>
      </w:r>
      <w:r>
        <w:rPr>
          <w:rFonts w:hint="eastAsia"/>
          <w:color w:val="auto"/>
        </w:rPr>
        <w:t>。</w:t>
      </w:r>
      <w:r>
        <w:rPr>
          <w:rFonts w:hint="eastAsia"/>
          <w:color w:val="auto"/>
          <w:spacing w:val="6"/>
        </w:rPr>
        <w:t>重点加强长流港提防的绿化防洪和武九铁路边防洪工作，完善城区防洪减灾体系。</w:t>
      </w:r>
    </w:p>
    <w:p>
      <w:pPr>
        <w:ind w:firstLine="643"/>
        <w:rPr>
          <w:b/>
          <w:bCs/>
          <w:color w:val="auto"/>
        </w:rPr>
      </w:pPr>
      <w:r>
        <w:rPr>
          <w:rFonts w:hint="eastAsia"/>
          <w:b/>
          <w:bCs/>
          <w:color w:val="auto"/>
        </w:rPr>
        <w:t>统筹推进新型基础设施建设。</w:t>
      </w:r>
      <w:r>
        <w:rPr>
          <w:rFonts w:hint="eastAsia"/>
          <w:color w:val="auto"/>
        </w:rPr>
        <w:t>加快部署5G网络设施、推进信息网络升级、建设高标准数据中心、打造互联网服务平台。</w:t>
      </w:r>
      <w:r>
        <w:rPr>
          <w:color w:val="auto"/>
        </w:rPr>
        <w:t>建成</w:t>
      </w:r>
      <w:r>
        <w:rPr>
          <w:rFonts w:hint="eastAsia"/>
          <w:color w:val="auto"/>
        </w:rPr>
        <w:t>具有安全运营、智慧分析、数据共享的高质量政务网络服务</w:t>
      </w:r>
      <w:r>
        <w:rPr>
          <w:color w:val="auto"/>
        </w:rPr>
        <w:t>平台</w:t>
      </w:r>
      <w:r>
        <w:rPr>
          <w:rFonts w:hint="eastAsia"/>
          <w:color w:val="auto"/>
        </w:rPr>
        <w:t>。大力推进智慧交通、智慧能源、智慧市政设施、智慧医疗教育、智慧旅游建设。建设涵盖政务、企业、民生、教育、医疗、旅游等领域的综合管理数据库，实现数据信息融合共享</w:t>
      </w:r>
      <w:r>
        <w:rPr>
          <w:rFonts w:hint="eastAsia"/>
          <w:b/>
          <w:bCs/>
          <w:color w:val="auto"/>
        </w:rPr>
        <w:t>。</w:t>
      </w:r>
    </w:p>
    <w:p>
      <w:pPr>
        <w:pStyle w:val="3"/>
        <w:ind w:firstLine="2037" w:firstLineChars="566"/>
        <w:rPr>
          <w:rFonts w:cs="Times New Roman"/>
          <w:color w:val="auto"/>
        </w:rPr>
      </w:pPr>
      <w:bookmarkStart w:id="89" w:name="_Toc2684"/>
      <w:bookmarkStart w:id="90" w:name="_Toc32706"/>
      <w:r>
        <w:rPr>
          <w:rFonts w:cs="Times New Roman"/>
          <w:color w:val="auto"/>
        </w:rPr>
        <w:t>第五节 务实做好城市创建</w:t>
      </w:r>
      <w:bookmarkEnd w:id="89"/>
      <w:bookmarkEnd w:id="90"/>
    </w:p>
    <w:p>
      <w:pPr>
        <w:rPr>
          <w:color w:val="auto"/>
        </w:rPr>
      </w:pPr>
      <w:r>
        <w:rPr>
          <w:rFonts w:hint="eastAsia"/>
          <w:color w:val="auto"/>
        </w:rPr>
        <w:t>以大冶市争创全国文明城市“二连冠”暨国家卫生城市为契机，积极实施城市创建工程，全面增强大冶市的城市综合竞争力和美誉度，把东岳建成经济繁荣、社会文明、环境优美、生态良好的现代化城区。</w:t>
      </w:r>
    </w:p>
    <w:p>
      <w:pPr>
        <w:ind w:firstLine="643"/>
        <w:rPr>
          <w:color w:val="auto"/>
        </w:rPr>
      </w:pPr>
      <w:r>
        <w:rPr>
          <w:rFonts w:hint="eastAsia"/>
          <w:b/>
          <w:bCs/>
          <w:color w:val="auto"/>
        </w:rPr>
        <w:t>持续推进文明城市创建。</w:t>
      </w:r>
      <w:r>
        <w:rPr>
          <w:color w:val="auto"/>
        </w:rPr>
        <w:t>坚持创建为民、创建惠民，持续深入、统筹推进全国文明城市</w:t>
      </w:r>
      <w:r>
        <w:rPr>
          <w:rFonts w:hint="eastAsia"/>
          <w:color w:val="auto"/>
        </w:rPr>
        <w:t>建设，</w:t>
      </w:r>
      <w:r>
        <w:rPr>
          <w:color w:val="auto"/>
          <w:shd w:val="clear" w:color="auto" w:fill="FFFFFF"/>
        </w:rPr>
        <w:t>全方位将物质文明、政治文明、精神文明和举止文明提升至高水平，以更高层次、更高水平推动城市良性发展。</w:t>
      </w:r>
    </w:p>
    <w:p>
      <w:pPr>
        <w:ind w:firstLine="643"/>
        <w:rPr>
          <w:color w:val="auto"/>
        </w:rPr>
      </w:pPr>
      <w:r>
        <w:rPr>
          <w:rFonts w:hint="eastAsia"/>
          <w:b/>
          <w:bCs/>
          <w:color w:val="auto"/>
        </w:rPr>
        <w:t>持续做好卫生城市创建。</w:t>
      </w:r>
      <w:r>
        <w:rPr>
          <w:rFonts w:hint="eastAsia"/>
          <w:color w:val="auto"/>
        </w:rPr>
        <w:t>积极应对后疫时代新形势新挑战，坚定不移抓好常态化疫情防控，以国家卫生城市复检为契机，持续推进市容环境卫生市场化管理、农贸市场提档升级、食品安全、公共场所、病媒生物防治“五大达标”和公共卫生与医疗服务、学校卫生、职业病防治、环境保护、全民健身、禁烟、控烟宣传“六大统筹”。</w:t>
      </w:r>
    </w:p>
    <w:p>
      <w:pPr>
        <w:pStyle w:val="2"/>
        <w:jc w:val="center"/>
        <w:rPr>
          <w:color w:val="auto"/>
        </w:rPr>
      </w:pPr>
      <w:bookmarkStart w:id="91" w:name="_Toc30073"/>
      <w:bookmarkStart w:id="92" w:name="_Toc6953"/>
      <w:r>
        <w:rPr>
          <w:rFonts w:hint="eastAsia"/>
          <w:color w:val="auto"/>
        </w:rPr>
        <w:t>第四章 建设碧水蓝天生态城区</w:t>
      </w:r>
      <w:bookmarkEnd w:id="91"/>
      <w:bookmarkEnd w:id="92"/>
    </w:p>
    <w:p>
      <w:pPr>
        <w:pStyle w:val="3"/>
        <w:jc w:val="center"/>
        <w:rPr>
          <w:rFonts w:cs="Times New Roman"/>
          <w:color w:val="auto"/>
        </w:rPr>
      </w:pPr>
      <w:bookmarkStart w:id="93" w:name="_Toc7459"/>
      <w:bookmarkStart w:id="94" w:name="_Toc5824"/>
      <w:r>
        <w:rPr>
          <w:rFonts w:cs="Times New Roman"/>
          <w:color w:val="auto"/>
        </w:rPr>
        <w:t>第一节 严格落实生态环境保护制度</w:t>
      </w:r>
      <w:bookmarkEnd w:id="93"/>
      <w:bookmarkEnd w:id="94"/>
    </w:p>
    <w:p>
      <w:pPr>
        <w:ind w:firstLine="643"/>
        <w:rPr>
          <w:color w:val="auto"/>
        </w:rPr>
      </w:pPr>
      <w:r>
        <w:rPr>
          <w:rFonts w:hint="eastAsia"/>
          <w:b/>
          <w:bCs/>
          <w:color w:val="auto"/>
        </w:rPr>
        <w:t>健全生态系统监测和评价制度。</w:t>
      </w:r>
      <w:r>
        <w:rPr>
          <w:rFonts w:hint="eastAsia"/>
          <w:color w:val="auto"/>
        </w:rPr>
        <w:t>严格实行生态环境监测与考核、坚决落实环保“一票否决”制度，进一步扩大环境监测领域和监测范围，统筹部门环境监测数据，提高环境监测数据质量。加强生态环境监测制度与统计制度、评价制度、责任追究制度、奖惩制度等评价考核制度的衔接，提升生态环境监测和评价综合效能。</w:t>
      </w:r>
    </w:p>
    <w:p>
      <w:pPr>
        <w:ind w:firstLine="643"/>
        <w:rPr>
          <w:color w:val="auto"/>
        </w:rPr>
      </w:pPr>
      <w:r>
        <w:rPr>
          <w:rFonts w:hint="eastAsia"/>
          <w:b/>
          <w:bCs/>
          <w:color w:val="auto"/>
        </w:rPr>
        <w:t>建立生态文明建设目标评价考核制度。</w:t>
      </w:r>
      <w:r>
        <w:rPr>
          <w:rFonts w:hint="eastAsia"/>
          <w:color w:val="auto"/>
        </w:rPr>
        <w:t>把生态环境保护放在突出位置，与环保督查协同发挥作用。既要加大追责力度，另一方面要增加考核柔性，根据区域主体功能区职责进行细分，细化完善考核体系，进一步将考核落到实处。</w:t>
      </w:r>
    </w:p>
    <w:p>
      <w:pPr>
        <w:ind w:firstLine="643"/>
        <w:rPr>
          <w:b/>
          <w:bCs/>
          <w:color w:val="auto"/>
        </w:rPr>
      </w:pPr>
      <w:r>
        <w:rPr>
          <w:rFonts w:hint="eastAsia"/>
          <w:b/>
          <w:bCs/>
          <w:color w:val="auto"/>
        </w:rPr>
        <w:t>严格落实河（湖）长制工作</w:t>
      </w:r>
      <w:r>
        <w:rPr>
          <w:rFonts w:hint="eastAsia"/>
          <w:color w:val="auto"/>
        </w:rPr>
        <w:t>。继续坚持由街道党政主要负责人担任“河（湖）长”，负责组织领导相应河湖的管理和保护工作，“河（湖）长”担任河湖第一责任人。全面落实河湖长巡查制度化、常态化，全面实现</w:t>
      </w:r>
      <w:r>
        <w:rPr>
          <w:color w:val="auto"/>
        </w:rPr>
        <w:t>“</w:t>
      </w:r>
      <w:r>
        <w:rPr>
          <w:rFonts w:hint="eastAsia"/>
          <w:color w:val="auto"/>
        </w:rPr>
        <w:t>河长治</w:t>
      </w:r>
      <w:r>
        <w:rPr>
          <w:color w:val="auto"/>
        </w:rPr>
        <w:t>”</w:t>
      </w:r>
      <w:r>
        <w:rPr>
          <w:rFonts w:hint="eastAsia"/>
          <w:color w:val="auto"/>
        </w:rPr>
        <w:t>。</w:t>
      </w:r>
      <w:r>
        <w:rPr>
          <w:rFonts w:hint="eastAsia"/>
          <w:color w:val="auto"/>
          <w:spacing w:val="6"/>
        </w:rPr>
        <w:t>扎实做好长流港水系综合整治工程，加快实施河流、湖泊的疏浚治污、绿化美化工程，实现全水域生态环境立体化治理。</w:t>
      </w:r>
    </w:p>
    <w:p>
      <w:pPr>
        <w:pStyle w:val="3"/>
        <w:jc w:val="center"/>
        <w:rPr>
          <w:rFonts w:cs="Times New Roman"/>
          <w:color w:val="auto"/>
        </w:rPr>
      </w:pPr>
      <w:bookmarkStart w:id="95" w:name="_Toc15445"/>
      <w:bookmarkStart w:id="96" w:name="_Toc10149"/>
      <w:r>
        <w:rPr>
          <w:rFonts w:cs="Times New Roman"/>
          <w:color w:val="auto"/>
        </w:rPr>
        <w:t>第二节 稳步推进生态环境保护与修复</w:t>
      </w:r>
      <w:bookmarkEnd w:id="95"/>
      <w:bookmarkEnd w:id="96"/>
    </w:p>
    <w:p>
      <w:pPr>
        <w:ind w:firstLine="643"/>
        <w:rPr>
          <w:color w:val="auto"/>
        </w:rPr>
      </w:pPr>
      <w:r>
        <w:rPr>
          <w:rFonts w:hint="eastAsia"/>
          <w:b/>
          <w:bCs/>
          <w:color w:val="auto"/>
        </w:rPr>
        <w:t>加快推进水生态保护与修复。</w:t>
      </w:r>
      <w:r>
        <w:rPr>
          <w:rFonts w:hint="eastAsia"/>
          <w:color w:val="auto"/>
        </w:rPr>
        <w:t>重点开展尹家湖、红星湖、三里七湖的综合治理，严格禁止工业和生活污水向尹家湖排放，做好红星湖的清淤治理，实施重要河湖水体治理和水环境综合整治。持续推进大冶湖、红星湖、尹家湖水葫芦专项清理工作，在河道入湖口处设置拦截隔离网，组织专班人马开展排查清理打捞工作。加大对污染物的总量控制和主要污染物总量消减力度，大力推进水质达标建设，确保重要水域水质安全，实现“水美、水清、水活”的水环境治理目标。力争到</w:t>
      </w:r>
      <w:r>
        <w:rPr>
          <w:color w:val="auto"/>
        </w:rPr>
        <w:t>2025</w:t>
      </w:r>
      <w:r>
        <w:rPr>
          <w:rFonts w:hint="eastAsia"/>
          <w:color w:val="auto"/>
        </w:rPr>
        <w:t>年，实现城市生活污水处理率达到</w:t>
      </w:r>
      <w:r>
        <w:rPr>
          <w:color w:val="auto"/>
        </w:rPr>
        <w:t>100%</w:t>
      </w:r>
      <w:r>
        <w:rPr>
          <w:rFonts w:hint="eastAsia"/>
          <w:color w:val="auto"/>
        </w:rPr>
        <w:t>、工业生产废水集中处理率达</w:t>
      </w:r>
      <w:r>
        <w:rPr>
          <w:color w:val="auto"/>
        </w:rPr>
        <w:t>100%</w:t>
      </w:r>
      <w:r>
        <w:rPr>
          <w:rFonts w:hint="eastAsia"/>
          <w:color w:val="auto"/>
        </w:rPr>
        <w:t>，主要水体水质达到环境水功能区划要求。</w:t>
      </w:r>
    </w:p>
    <w:p>
      <w:pPr>
        <w:ind w:firstLine="643"/>
        <w:rPr>
          <w:color w:val="auto"/>
          <w:spacing w:val="6"/>
        </w:rPr>
      </w:pPr>
      <w:r>
        <w:rPr>
          <w:rFonts w:hint="eastAsia"/>
          <w:b/>
          <w:bCs/>
          <w:color w:val="auto"/>
        </w:rPr>
        <w:t>大力改善空气质量。</w:t>
      </w:r>
      <w:r>
        <w:rPr>
          <w:color w:val="auto"/>
          <w:shd w:val="clear" w:color="auto" w:fill="FFFFFF"/>
        </w:rPr>
        <w:t>大力推进道路扬尘污染防治，对城区道路进行全天候全覆盖的精细化洗扫作业，创新环卫作业模式，强化机械化作业手段，采取网格化管理，责任到人。</w:t>
      </w:r>
      <w:r>
        <w:rPr>
          <w:rFonts w:hint="eastAsia"/>
          <w:color w:val="auto"/>
        </w:rPr>
        <w:t>推进城区</w:t>
      </w:r>
      <w:r>
        <w:rPr>
          <w:rFonts w:hint="eastAsia"/>
          <w:color w:val="auto"/>
          <w:spacing w:val="6"/>
        </w:rPr>
        <w:t>餐饮油烟、机动车尾气等项目综合治理，紧抓污染源头，实现标本兼治。大力推进</w:t>
      </w:r>
      <w:r>
        <w:rPr>
          <w:rFonts w:hint="eastAsia"/>
          <w:color w:val="auto"/>
        </w:rPr>
        <w:t>餐饮上油烟净化工程，最大限度减少主城区油烟污染，</w:t>
      </w:r>
      <w:r>
        <w:rPr>
          <w:rFonts w:hint="eastAsia"/>
          <w:color w:val="auto"/>
          <w:spacing w:val="6"/>
        </w:rPr>
        <w:t>实现空气质量持续优良、稳步向好，城市空气质量优良天数比率达到省市既定目标。</w:t>
      </w:r>
    </w:p>
    <w:p>
      <w:pPr>
        <w:ind w:firstLine="643"/>
        <w:rPr>
          <w:color w:val="auto"/>
        </w:rPr>
      </w:pPr>
      <w:r>
        <w:rPr>
          <w:rFonts w:hint="eastAsia"/>
          <w:b/>
          <w:bCs/>
          <w:color w:val="auto"/>
        </w:rPr>
        <w:t>加快土壤环境风险管控。</w:t>
      </w:r>
      <w:r>
        <w:rPr>
          <w:rFonts w:hint="eastAsia"/>
          <w:color w:val="auto"/>
        </w:rPr>
        <w:t>开展土壤重金属污染调查，制定土壤重金属污染综合治理专项规划，全面推进金属污染防治和土壤修复。采用污染源隔离、植物微生物联合修复技术、农艺修复和多种重金属超富集植物提取方法，土壤的重金属含量达到修复治理要求，到</w:t>
      </w:r>
      <w:r>
        <w:rPr>
          <w:color w:val="auto"/>
        </w:rPr>
        <w:t>2025</w:t>
      </w:r>
      <w:r>
        <w:rPr>
          <w:rFonts w:hint="eastAsia"/>
          <w:color w:val="auto"/>
        </w:rPr>
        <w:t>年，全街办污染地块安全利用率达到</w:t>
      </w:r>
      <w:r>
        <w:rPr>
          <w:color w:val="auto"/>
        </w:rPr>
        <w:t>90%</w:t>
      </w:r>
      <w:r>
        <w:rPr>
          <w:rFonts w:hint="eastAsia"/>
          <w:color w:val="auto"/>
        </w:rPr>
        <w:t>以上。</w:t>
      </w:r>
    </w:p>
    <w:p>
      <w:pPr>
        <w:ind w:firstLine="643"/>
        <w:rPr>
          <w:color w:val="auto"/>
        </w:rPr>
      </w:pPr>
      <w:r>
        <w:rPr>
          <w:rFonts w:hint="eastAsia"/>
          <w:b/>
          <w:bCs/>
          <w:color w:val="auto"/>
        </w:rPr>
        <w:t>加快管网改造和雨污分流</w:t>
      </w:r>
      <w:r>
        <w:rPr>
          <w:rFonts w:hint="eastAsia"/>
          <w:color w:val="auto"/>
        </w:rPr>
        <w:t>。完善河流泵站建设，从源头上治愈“水污染”顽疾，确保“雨水入河、污水入厂”。严格执行排水许可制度，避免雨污管网混接，确保新区和新建、改建项目雨污分流达标。加快推进雨污分流工程建设，努力解决雨期污水溢流进入河道问题，力求全面改善和提升水环境质量。</w:t>
      </w:r>
    </w:p>
    <w:p>
      <w:pPr>
        <w:ind w:firstLine="643"/>
        <w:rPr>
          <w:b/>
          <w:bCs/>
          <w:color w:val="auto"/>
        </w:rPr>
      </w:pPr>
      <w:r>
        <w:rPr>
          <w:rFonts w:hint="eastAsia"/>
          <w:b/>
          <w:bCs/>
          <w:color w:val="auto"/>
        </w:rPr>
        <w:t>有效控制噪声污染。</w:t>
      </w:r>
      <w:r>
        <w:rPr>
          <w:rFonts w:hint="eastAsia"/>
          <w:color w:val="auto"/>
          <w:spacing w:val="6"/>
        </w:rPr>
        <w:t>加大对城市工业企业噪声、施工噪声、交通噪声、生活噪声监管和综合整治力度，对辖区内噪声污染现象进行全天候机动巡查，加强占道经营整治，对流动摊点的叫卖喇叭进行暂扣，对商铺高音喇叭兜售的噪声扰民现象，视其情节情况进行处罚。在主要街道设置交通噪声监测点，形成完整的噪声监测体系。</w:t>
      </w:r>
    </w:p>
    <w:p>
      <w:pPr>
        <w:ind w:firstLine="643"/>
        <w:rPr>
          <w:b/>
          <w:bCs/>
          <w:color w:val="auto"/>
        </w:rPr>
      </w:pPr>
      <w:r>
        <w:rPr>
          <w:rFonts w:hint="eastAsia"/>
          <w:b/>
          <w:bCs/>
          <w:color w:val="auto"/>
        </w:rPr>
        <w:t>持续推进垃圾分类</w:t>
      </w:r>
      <w:r>
        <w:rPr>
          <w:rFonts w:hint="eastAsia"/>
          <w:color w:val="auto"/>
          <w:spacing w:val="6"/>
        </w:rPr>
        <w:t>。</w:t>
      </w:r>
      <w:r>
        <w:rPr>
          <w:color w:val="auto"/>
          <w:shd w:val="clear" w:color="auto" w:fill="FFFFFF"/>
        </w:rPr>
        <w:t>重视垃圾产生的源头管控，推行洁净农产品上市、净菜进城，限制消费品过度包装，实行“大分流”“小分类”，实现资源重复、循环利用，减量化、无害化处置垃圾</w:t>
      </w:r>
      <w:r>
        <w:rPr>
          <w:rFonts w:hint="eastAsia"/>
          <w:color w:val="auto"/>
          <w:spacing w:val="6"/>
        </w:rPr>
        <w:t>。普及宣传垃圾分类知识，开展垃圾分类宣讲工作，制定并实施适合东岳街办垃圾分类管理实施方案。大力推进循环经济，让餐厨垃圾变废为宝，让“绿色、低碳、环保”的理念深入人心。</w:t>
      </w:r>
    </w:p>
    <w:p>
      <w:pPr>
        <w:pStyle w:val="3"/>
        <w:jc w:val="center"/>
        <w:rPr>
          <w:rFonts w:cs="Times New Roman"/>
          <w:color w:val="auto"/>
        </w:rPr>
      </w:pPr>
      <w:bookmarkStart w:id="97" w:name="_Toc15688"/>
      <w:bookmarkStart w:id="98" w:name="_Toc4482"/>
      <w:r>
        <w:rPr>
          <w:rFonts w:cs="Times New Roman"/>
          <w:color w:val="auto"/>
        </w:rPr>
        <w:t>第三节 打造现代绿色宜居城市样板</w:t>
      </w:r>
      <w:bookmarkEnd w:id="97"/>
      <w:bookmarkEnd w:id="98"/>
    </w:p>
    <w:p>
      <w:pPr>
        <w:ind w:firstLine="648" w:firstLineChars="0"/>
        <w:rPr>
          <w:bCs/>
          <w:color w:val="auto"/>
          <w:kern w:val="0"/>
          <w:szCs w:val="30"/>
        </w:rPr>
      </w:pPr>
      <w:r>
        <w:rPr>
          <w:rFonts w:hint="eastAsia"/>
          <w:b/>
          <w:bCs/>
          <w:color w:val="auto"/>
        </w:rPr>
        <w:t>丰富城市特色生态景观</w:t>
      </w:r>
      <w:r>
        <w:rPr>
          <w:rFonts w:hint="eastAsia"/>
          <w:color w:val="auto"/>
        </w:rPr>
        <w:t>。秉持</w:t>
      </w:r>
      <w:r>
        <w:rPr>
          <w:color w:val="auto"/>
        </w:rPr>
        <w:t>“</w:t>
      </w:r>
      <w:r>
        <w:rPr>
          <w:rFonts w:hint="eastAsia"/>
          <w:color w:val="auto"/>
        </w:rPr>
        <w:t>绿水青山就是金山银山</w:t>
      </w:r>
      <w:r>
        <w:rPr>
          <w:color w:val="auto"/>
        </w:rPr>
        <w:t>”</w:t>
      </w:r>
      <w:r>
        <w:rPr>
          <w:rFonts w:hint="eastAsia"/>
          <w:color w:val="auto"/>
        </w:rPr>
        <w:t>的绿色发展理念，加快主次干道、河道沿线的景观塑造，</w:t>
      </w:r>
      <w:r>
        <w:rPr>
          <w:rFonts w:hint="eastAsia"/>
          <w:bCs/>
          <w:color w:val="auto"/>
          <w:kern w:val="0"/>
          <w:szCs w:val="30"/>
        </w:rPr>
        <w:t>打造红星湖及沿岸交通干道树木形成的生态廊道，构建“蓝绿交织”的城市半岛生态格局</w:t>
      </w:r>
      <w:r>
        <w:rPr>
          <w:rFonts w:hint="eastAsia"/>
          <w:color w:val="auto"/>
        </w:rPr>
        <w:t>。大力开展生态保护修复，加快建设青龙山公园滨湖特色景观，建好湿地公园、绿色游园和生态绿道，逐步推进全域公园化，</w:t>
      </w:r>
      <w:r>
        <w:rPr>
          <w:rFonts w:hint="eastAsia"/>
          <w:bCs/>
          <w:color w:val="auto"/>
          <w:kern w:val="0"/>
          <w:szCs w:val="30"/>
        </w:rPr>
        <w:t>建设宜居宜业的滨湖生态园林城市。</w:t>
      </w:r>
    </w:p>
    <w:p>
      <w:pPr>
        <w:ind w:firstLine="643"/>
        <w:rPr>
          <w:color w:val="auto"/>
        </w:rPr>
      </w:pPr>
      <w:r>
        <w:rPr>
          <w:rFonts w:hint="eastAsia"/>
          <w:b/>
          <w:bCs/>
          <w:color w:val="auto"/>
        </w:rPr>
        <w:t>强化城市市容市貌整治。</w:t>
      </w:r>
      <w:r>
        <w:rPr>
          <w:rFonts w:hint="eastAsia"/>
          <w:color w:val="auto"/>
        </w:rPr>
        <w:t>不断优化街办背街小巷形象，依托街办改造项目，以打造生态街区为理念，通过环境美化、建筑改造、对整体形象进行优化。进一步完善旧城区市政基础设施，强化环境综合整治，合理规划建设一批城市公园绿地和配套基础设施，打造一张绿色清新、现代文明与历史文化交融的城市名片。</w:t>
      </w:r>
    </w:p>
    <w:bookmarkEnd w:id="64"/>
    <w:p>
      <w:pPr>
        <w:keepNext/>
        <w:keepLines/>
        <w:numPr>
          <w:ilvl w:val="0"/>
          <w:numId w:val="3"/>
        </w:numPr>
        <w:spacing w:before="340" w:after="330" w:line="578" w:lineRule="auto"/>
        <w:ind w:firstLine="274" w:firstLineChars="62"/>
        <w:jc w:val="center"/>
        <w:outlineLvl w:val="0"/>
        <w:rPr>
          <w:rFonts w:eastAsia="宋体"/>
          <w:b/>
          <w:bCs/>
          <w:color w:val="auto"/>
          <w:kern w:val="44"/>
          <w:sz w:val="44"/>
          <w:szCs w:val="44"/>
        </w:rPr>
      </w:pPr>
      <w:bookmarkStart w:id="99" w:name="_Toc61338320"/>
      <w:bookmarkEnd w:id="99"/>
      <w:bookmarkStart w:id="100" w:name="_Toc61338317"/>
      <w:bookmarkEnd w:id="100"/>
      <w:bookmarkStart w:id="101" w:name="_Toc61625601"/>
      <w:bookmarkEnd w:id="101"/>
      <w:bookmarkStart w:id="102" w:name="_Toc61338297"/>
      <w:bookmarkEnd w:id="102"/>
      <w:bookmarkStart w:id="103" w:name="_Toc61338289"/>
      <w:bookmarkEnd w:id="103"/>
      <w:bookmarkStart w:id="104" w:name="_Toc61338321"/>
      <w:bookmarkEnd w:id="104"/>
      <w:bookmarkStart w:id="105" w:name="_Toc61338294"/>
      <w:bookmarkEnd w:id="105"/>
      <w:bookmarkStart w:id="106" w:name="_Toc61338341"/>
      <w:bookmarkEnd w:id="106"/>
      <w:bookmarkStart w:id="107" w:name="_Toc61338301"/>
      <w:bookmarkEnd w:id="107"/>
      <w:bookmarkStart w:id="108" w:name="_Toc61338309"/>
      <w:bookmarkEnd w:id="108"/>
      <w:bookmarkStart w:id="109" w:name="_Toc61338332"/>
      <w:bookmarkEnd w:id="109"/>
      <w:bookmarkStart w:id="110" w:name="_Toc61338315"/>
      <w:bookmarkEnd w:id="110"/>
      <w:bookmarkStart w:id="111" w:name="_Toc61338292"/>
      <w:bookmarkEnd w:id="111"/>
      <w:bookmarkStart w:id="112" w:name="_Toc61625587"/>
      <w:bookmarkEnd w:id="112"/>
      <w:bookmarkStart w:id="113" w:name="_Toc61338300"/>
      <w:bookmarkEnd w:id="113"/>
      <w:bookmarkStart w:id="114" w:name="_Toc61338311"/>
      <w:bookmarkEnd w:id="114"/>
      <w:bookmarkStart w:id="115" w:name="_Toc61338319"/>
      <w:bookmarkEnd w:id="115"/>
      <w:bookmarkStart w:id="116" w:name="_Toc61338310"/>
      <w:bookmarkEnd w:id="116"/>
      <w:bookmarkStart w:id="117" w:name="_Toc61338299"/>
      <w:bookmarkEnd w:id="117"/>
      <w:bookmarkStart w:id="118" w:name="_Toc61338308"/>
      <w:bookmarkEnd w:id="118"/>
      <w:bookmarkStart w:id="119" w:name="_Toc61625591"/>
      <w:bookmarkEnd w:id="119"/>
      <w:bookmarkStart w:id="120" w:name="_Toc61625596"/>
      <w:bookmarkEnd w:id="120"/>
      <w:bookmarkStart w:id="121" w:name="_Toc61625594"/>
      <w:bookmarkEnd w:id="121"/>
      <w:bookmarkStart w:id="122" w:name="_Toc61625597"/>
      <w:bookmarkEnd w:id="122"/>
      <w:bookmarkStart w:id="123" w:name="_Toc61625600"/>
      <w:bookmarkEnd w:id="123"/>
      <w:bookmarkStart w:id="124" w:name="_Toc61338290"/>
      <w:bookmarkEnd w:id="124"/>
      <w:bookmarkStart w:id="125" w:name="_Toc61625602"/>
      <w:bookmarkEnd w:id="125"/>
      <w:bookmarkStart w:id="126" w:name="_Toc61338331"/>
      <w:bookmarkEnd w:id="126"/>
      <w:bookmarkStart w:id="127" w:name="_Toc61338325"/>
      <w:bookmarkEnd w:id="127"/>
      <w:bookmarkStart w:id="128" w:name="_Toc61625583"/>
      <w:bookmarkEnd w:id="128"/>
      <w:bookmarkStart w:id="129" w:name="_Toc61338307"/>
      <w:bookmarkEnd w:id="129"/>
      <w:bookmarkStart w:id="130" w:name="_Toc61338337"/>
      <w:bookmarkEnd w:id="130"/>
      <w:bookmarkStart w:id="131" w:name="_Toc61338344"/>
      <w:bookmarkEnd w:id="131"/>
      <w:bookmarkStart w:id="132" w:name="_Toc61338324"/>
      <w:bookmarkEnd w:id="132"/>
      <w:bookmarkStart w:id="133" w:name="_Toc61625590"/>
      <w:bookmarkEnd w:id="133"/>
      <w:bookmarkStart w:id="134" w:name="_Toc61338306"/>
      <w:bookmarkEnd w:id="134"/>
      <w:bookmarkStart w:id="135" w:name="_Toc61338336"/>
      <w:bookmarkEnd w:id="135"/>
      <w:bookmarkStart w:id="136" w:name="_Toc61625598"/>
      <w:bookmarkEnd w:id="136"/>
      <w:bookmarkStart w:id="137" w:name="_Toc61338293"/>
      <w:bookmarkEnd w:id="137"/>
      <w:bookmarkStart w:id="138" w:name="_Toc61338286"/>
      <w:bookmarkEnd w:id="138"/>
      <w:bookmarkStart w:id="139" w:name="_Toc61338312"/>
      <w:bookmarkEnd w:id="139"/>
      <w:bookmarkStart w:id="140" w:name="_Toc61338291"/>
      <w:bookmarkEnd w:id="140"/>
      <w:bookmarkStart w:id="141" w:name="_Toc61338303"/>
      <w:bookmarkEnd w:id="141"/>
      <w:bookmarkStart w:id="142" w:name="_Toc61625588"/>
      <w:bookmarkEnd w:id="142"/>
      <w:bookmarkStart w:id="143" w:name="_Toc61338339"/>
      <w:bookmarkEnd w:id="143"/>
      <w:bookmarkStart w:id="144" w:name="_Toc61338295"/>
      <w:bookmarkEnd w:id="144"/>
      <w:bookmarkStart w:id="145" w:name="_Toc61625599"/>
      <w:bookmarkEnd w:id="145"/>
      <w:bookmarkStart w:id="146" w:name="_Toc61338302"/>
      <w:bookmarkEnd w:id="146"/>
      <w:bookmarkStart w:id="147" w:name="_Toc61338343"/>
      <w:bookmarkEnd w:id="147"/>
      <w:bookmarkStart w:id="148" w:name="_Toc61625592"/>
      <w:bookmarkEnd w:id="148"/>
      <w:bookmarkStart w:id="149" w:name="_Toc61625593"/>
      <w:bookmarkEnd w:id="149"/>
      <w:bookmarkStart w:id="150" w:name="_Toc61338345"/>
      <w:bookmarkEnd w:id="150"/>
      <w:bookmarkStart w:id="151" w:name="_Toc61338298"/>
      <w:bookmarkEnd w:id="151"/>
      <w:bookmarkStart w:id="152" w:name="_Toc61338335"/>
      <w:bookmarkEnd w:id="152"/>
      <w:bookmarkStart w:id="153" w:name="_Toc61338316"/>
      <w:bookmarkEnd w:id="153"/>
      <w:bookmarkStart w:id="154" w:name="_Toc61338338"/>
      <w:bookmarkEnd w:id="154"/>
      <w:bookmarkStart w:id="155" w:name="_Toc61338305"/>
      <w:bookmarkEnd w:id="155"/>
      <w:bookmarkStart w:id="156" w:name="_Toc61338340"/>
      <w:bookmarkEnd w:id="156"/>
      <w:bookmarkStart w:id="157" w:name="_Toc61625589"/>
      <w:bookmarkEnd w:id="157"/>
      <w:bookmarkStart w:id="158" w:name="_Toc61338318"/>
      <w:bookmarkEnd w:id="158"/>
      <w:bookmarkStart w:id="159" w:name="_Toc61338327"/>
      <w:bookmarkEnd w:id="159"/>
      <w:bookmarkStart w:id="160" w:name="_Toc61338288"/>
      <w:bookmarkEnd w:id="160"/>
      <w:bookmarkStart w:id="161" w:name="_Toc61338333"/>
      <w:bookmarkEnd w:id="161"/>
      <w:bookmarkStart w:id="162" w:name="_Toc61338322"/>
      <w:bookmarkEnd w:id="162"/>
      <w:bookmarkStart w:id="163" w:name="_Toc61338304"/>
      <w:bookmarkEnd w:id="163"/>
      <w:bookmarkStart w:id="164" w:name="_Toc61338296"/>
      <w:bookmarkEnd w:id="164"/>
      <w:bookmarkStart w:id="165" w:name="_Toc61338330"/>
      <w:bookmarkEnd w:id="165"/>
      <w:bookmarkStart w:id="166" w:name="_Toc61338328"/>
      <w:bookmarkEnd w:id="166"/>
      <w:bookmarkStart w:id="167" w:name="_Toc61338287"/>
      <w:bookmarkEnd w:id="167"/>
      <w:bookmarkStart w:id="168" w:name="_Toc61338334"/>
      <w:bookmarkEnd w:id="168"/>
      <w:bookmarkStart w:id="169" w:name="_Toc61625595"/>
      <w:bookmarkEnd w:id="169"/>
      <w:bookmarkStart w:id="170" w:name="_Toc61338313"/>
      <w:bookmarkEnd w:id="170"/>
      <w:bookmarkStart w:id="171" w:name="_Toc61338342"/>
      <w:bookmarkEnd w:id="171"/>
      <w:bookmarkStart w:id="172" w:name="_Toc61338314"/>
      <w:bookmarkEnd w:id="172"/>
      <w:bookmarkStart w:id="173" w:name="_Toc61338326"/>
      <w:bookmarkEnd w:id="173"/>
      <w:bookmarkStart w:id="174" w:name="_Toc61338329"/>
      <w:bookmarkEnd w:id="174"/>
      <w:bookmarkStart w:id="175" w:name="_Toc61338323"/>
      <w:bookmarkEnd w:id="175"/>
      <w:bookmarkStart w:id="176" w:name="_Toc31631"/>
      <w:bookmarkStart w:id="177" w:name="_Toc18354"/>
      <w:bookmarkStart w:id="178" w:name="_Toc57764041"/>
      <w:bookmarkStart w:id="179" w:name="_Toc60300038"/>
      <w:r>
        <w:rPr>
          <w:rFonts w:hint="eastAsia" w:eastAsia="宋体"/>
          <w:b/>
          <w:bCs/>
          <w:color w:val="auto"/>
          <w:kern w:val="44"/>
          <w:sz w:val="44"/>
          <w:szCs w:val="44"/>
        </w:rPr>
        <w:t>建设共建共享幸福城区</w:t>
      </w:r>
      <w:bookmarkEnd w:id="176"/>
      <w:bookmarkEnd w:id="177"/>
    </w:p>
    <w:p>
      <w:pPr>
        <w:keepNext/>
        <w:keepLines/>
        <w:spacing w:before="260" w:after="260" w:line="416" w:lineRule="auto"/>
        <w:ind w:firstLine="237" w:firstLineChars="66"/>
        <w:jc w:val="center"/>
        <w:outlineLvl w:val="1"/>
        <w:rPr>
          <w:rFonts w:hint="eastAsia" w:eastAsia="黑体"/>
          <w:bCs/>
          <w:color w:val="auto"/>
          <w:sz w:val="36"/>
          <w:szCs w:val="36"/>
        </w:rPr>
      </w:pPr>
      <w:bookmarkStart w:id="180" w:name="_Toc23039"/>
      <w:bookmarkStart w:id="181" w:name="_Toc31432"/>
      <w:r>
        <w:rPr>
          <w:rFonts w:eastAsia="黑体"/>
          <w:bCs/>
          <w:color w:val="auto"/>
          <w:sz w:val="36"/>
          <w:szCs w:val="36"/>
        </w:rPr>
        <w:t>第一节 完善</w:t>
      </w:r>
      <w:r>
        <w:rPr>
          <w:rFonts w:hint="eastAsia" w:eastAsia="黑体"/>
          <w:bCs/>
          <w:color w:val="auto"/>
          <w:sz w:val="36"/>
          <w:szCs w:val="36"/>
        </w:rPr>
        <w:t>城区</w:t>
      </w:r>
      <w:r>
        <w:rPr>
          <w:rFonts w:eastAsia="黑体"/>
          <w:bCs/>
          <w:color w:val="auto"/>
          <w:sz w:val="36"/>
          <w:szCs w:val="36"/>
        </w:rPr>
        <w:t>民生</w:t>
      </w:r>
      <w:r>
        <w:rPr>
          <w:rFonts w:hint="eastAsia" w:eastAsia="黑体"/>
          <w:bCs/>
          <w:color w:val="auto"/>
          <w:sz w:val="36"/>
          <w:szCs w:val="36"/>
        </w:rPr>
        <w:t>福祉</w:t>
      </w:r>
      <w:r>
        <w:rPr>
          <w:rFonts w:eastAsia="黑体"/>
          <w:bCs/>
          <w:color w:val="auto"/>
          <w:sz w:val="36"/>
          <w:szCs w:val="36"/>
        </w:rPr>
        <w:t>保障</w:t>
      </w:r>
      <w:bookmarkEnd w:id="180"/>
      <w:bookmarkEnd w:id="181"/>
    </w:p>
    <w:p>
      <w:pPr>
        <w:snapToGrid w:val="0"/>
        <w:spacing w:before="435" w:beforeLines="100" w:after="435" w:afterLines="100"/>
        <w:contextualSpacing/>
        <w:jc w:val="left"/>
        <w:outlineLvl w:val="2"/>
        <w:rPr>
          <w:rFonts w:eastAsia="黑体"/>
          <w:color w:val="auto"/>
          <w:kern w:val="0"/>
          <w:szCs w:val="32"/>
        </w:rPr>
      </w:pPr>
      <w:bookmarkStart w:id="182" w:name="_Toc57764031"/>
      <w:bookmarkStart w:id="183" w:name="_Toc61625605"/>
      <w:bookmarkStart w:id="184" w:name="_Toc5794"/>
      <w:bookmarkStart w:id="185" w:name="_Toc60744839"/>
      <w:bookmarkStart w:id="186" w:name="_Toc5104"/>
      <w:bookmarkStart w:id="187" w:name="_Toc60300044"/>
      <w:bookmarkStart w:id="188" w:name="_Toc56373928"/>
      <w:r>
        <w:rPr>
          <w:rFonts w:eastAsia="黑体"/>
          <w:color w:val="auto"/>
          <w:kern w:val="0"/>
          <w:szCs w:val="32"/>
        </w:rPr>
        <w:t>一、强化高品质医疗健康</w:t>
      </w:r>
      <w:bookmarkEnd w:id="182"/>
      <w:bookmarkEnd w:id="183"/>
      <w:bookmarkEnd w:id="184"/>
      <w:bookmarkEnd w:id="185"/>
      <w:bookmarkEnd w:id="186"/>
      <w:bookmarkEnd w:id="187"/>
      <w:bookmarkEnd w:id="188"/>
    </w:p>
    <w:p>
      <w:pPr>
        <w:ind w:firstLine="643"/>
        <w:rPr>
          <w:bCs/>
          <w:color w:val="auto"/>
          <w:szCs w:val="32"/>
        </w:rPr>
      </w:pPr>
      <w:r>
        <w:rPr>
          <w:rFonts w:hint="eastAsia"/>
          <w:b/>
          <w:bCs/>
          <w:color w:val="auto"/>
        </w:rPr>
        <w:t>提升医疗卫生服务水平</w:t>
      </w:r>
      <w:r>
        <w:rPr>
          <w:rFonts w:hint="eastAsia"/>
          <w:color w:val="auto"/>
        </w:rPr>
        <w:t>。以大冶市城东北片区为中心，积极推进大冶市第三人民医院业务综合楼建设项目、在中医医院内新建中医传染病综合大楼项目和扩建中医院医技康复楼项目。基本形成覆盖全域、布局合理、层次分明的</w:t>
      </w:r>
      <w:r>
        <w:rPr>
          <w:color w:val="auto"/>
        </w:rPr>
        <w:t>公共卫生服务体系</w:t>
      </w:r>
      <w:r>
        <w:rPr>
          <w:rFonts w:hint="eastAsia"/>
          <w:color w:val="auto"/>
        </w:rPr>
        <w:t>和</w:t>
      </w:r>
      <w:r>
        <w:rPr>
          <w:color w:val="auto"/>
        </w:rPr>
        <w:t>医疗卫生服务体系</w:t>
      </w:r>
      <w:r>
        <w:rPr>
          <w:rFonts w:hint="eastAsia"/>
          <w:color w:val="auto"/>
        </w:rPr>
        <w:t>。新建大冶市人民医院放疗中心，拟建设一栋放疗中心，提升大冶市医疗水平。加大</w:t>
      </w:r>
      <w:r>
        <w:rPr>
          <w:rFonts w:hint="eastAsia"/>
          <w:bCs/>
          <w:color w:val="auto"/>
          <w:szCs w:val="32"/>
        </w:rPr>
        <w:t>医疗卫生人才的引进招聘，</w:t>
      </w:r>
      <w:r>
        <w:rPr>
          <w:rFonts w:hint="eastAsia"/>
          <w:color w:val="auto"/>
        </w:rPr>
        <w:t>不断强化城区</w:t>
      </w:r>
      <w:r>
        <w:rPr>
          <w:color w:val="auto"/>
        </w:rPr>
        <w:t>疾病控制、预防保健、卫生监督</w:t>
      </w:r>
      <w:r>
        <w:rPr>
          <w:rFonts w:hint="eastAsia"/>
          <w:color w:val="auto"/>
        </w:rPr>
        <w:t>和</w:t>
      </w:r>
      <w:r>
        <w:rPr>
          <w:color w:val="auto"/>
        </w:rPr>
        <w:t>急救体系建设</w:t>
      </w:r>
      <w:bookmarkStart w:id="189" w:name="_Toc56373929"/>
      <w:r>
        <w:rPr>
          <w:rFonts w:hint="eastAsia"/>
          <w:color w:val="auto"/>
        </w:rPr>
        <w:t>。</w:t>
      </w:r>
      <w:r>
        <w:rPr>
          <w:bCs/>
          <w:color w:val="auto"/>
          <w:szCs w:val="32"/>
        </w:rPr>
        <w:t>加强社区服务中心</w:t>
      </w:r>
      <w:r>
        <w:rPr>
          <w:rFonts w:hint="eastAsia"/>
          <w:bCs/>
          <w:color w:val="auto"/>
          <w:szCs w:val="32"/>
        </w:rPr>
        <w:t>的</w:t>
      </w:r>
      <w:r>
        <w:rPr>
          <w:bCs/>
          <w:color w:val="auto"/>
          <w:szCs w:val="32"/>
        </w:rPr>
        <w:t>应急功能改造</w:t>
      </w:r>
      <w:r>
        <w:rPr>
          <w:rFonts w:hint="eastAsia"/>
          <w:bCs/>
          <w:color w:val="auto"/>
          <w:szCs w:val="32"/>
        </w:rPr>
        <w:t>，</w:t>
      </w:r>
      <w:r>
        <w:rPr>
          <w:bCs/>
          <w:color w:val="auto"/>
          <w:szCs w:val="32"/>
        </w:rPr>
        <w:t>提高对公共卫生突发事件的应急反应能力</w:t>
      </w:r>
      <w:r>
        <w:rPr>
          <w:rFonts w:hint="eastAsia"/>
          <w:bCs/>
          <w:color w:val="auto"/>
          <w:szCs w:val="32"/>
        </w:rPr>
        <w:t>，</w:t>
      </w:r>
      <w:r>
        <w:rPr>
          <w:bCs/>
          <w:color w:val="auto"/>
          <w:szCs w:val="32"/>
        </w:rPr>
        <w:t>提升</w:t>
      </w:r>
      <w:r>
        <w:rPr>
          <w:rFonts w:hint="eastAsia"/>
          <w:bCs/>
          <w:color w:val="auto"/>
          <w:szCs w:val="32"/>
        </w:rPr>
        <w:t>基层</w:t>
      </w:r>
      <w:r>
        <w:rPr>
          <w:bCs/>
          <w:color w:val="auto"/>
          <w:szCs w:val="32"/>
        </w:rPr>
        <w:t>医疗卫生机构</w:t>
      </w:r>
      <w:r>
        <w:rPr>
          <w:rFonts w:hint="eastAsia"/>
          <w:bCs/>
          <w:color w:val="auto"/>
          <w:szCs w:val="32"/>
        </w:rPr>
        <w:t>应对</w:t>
      </w:r>
      <w:r>
        <w:rPr>
          <w:bCs/>
          <w:color w:val="auto"/>
          <w:szCs w:val="32"/>
        </w:rPr>
        <w:t>重大疫情</w:t>
      </w:r>
      <w:r>
        <w:rPr>
          <w:rFonts w:hint="eastAsia"/>
          <w:bCs/>
          <w:color w:val="auto"/>
          <w:szCs w:val="32"/>
        </w:rPr>
        <w:t>的</w:t>
      </w:r>
      <w:r>
        <w:rPr>
          <w:bCs/>
          <w:color w:val="auto"/>
          <w:szCs w:val="32"/>
        </w:rPr>
        <w:t>救治能力，落实落细疫情常态化防控措施</w:t>
      </w:r>
      <w:r>
        <w:rPr>
          <w:rFonts w:hint="eastAsia"/>
          <w:bCs/>
          <w:color w:val="auto"/>
          <w:szCs w:val="32"/>
        </w:rPr>
        <w:t>。</w:t>
      </w:r>
    </w:p>
    <w:p>
      <w:pPr>
        <w:ind w:firstLine="643"/>
        <w:rPr>
          <w:color w:val="auto"/>
        </w:rPr>
      </w:pPr>
      <w:r>
        <w:rPr>
          <w:rFonts w:hint="eastAsia"/>
          <w:b/>
          <w:bCs/>
          <w:color w:val="auto"/>
        </w:rPr>
        <w:t>倡导形成健康生活方式。</w:t>
      </w:r>
      <w:r>
        <w:rPr>
          <w:rFonts w:hint="eastAsia"/>
          <w:bCs/>
          <w:color w:val="auto"/>
          <w:szCs w:val="32"/>
        </w:rPr>
        <w:t>加快</w:t>
      </w:r>
      <w:r>
        <w:rPr>
          <w:rFonts w:hint="eastAsia"/>
          <w:color w:val="auto"/>
          <w:szCs w:val="32"/>
        </w:rPr>
        <w:t>建设一批便民利民的小型体育场馆、健身活动中心、多功能运动场、健身步道等场地设施，积极引导社区举办大众体育赛事和体育活动，培育全民健身氛围。</w:t>
      </w:r>
      <w:r>
        <w:rPr>
          <w:bCs/>
          <w:color w:val="auto"/>
          <w:szCs w:val="32"/>
        </w:rPr>
        <w:t>大力倡导健康生活方式，全面推进公共场所禁烟，</w:t>
      </w:r>
      <w:r>
        <w:rPr>
          <w:rFonts w:hint="eastAsia"/>
          <w:bCs/>
          <w:color w:val="auto"/>
          <w:szCs w:val="32"/>
        </w:rPr>
        <w:t>加快提升居民卫生健康素养</w:t>
      </w:r>
      <w:r>
        <w:rPr>
          <w:rFonts w:hint="eastAsia"/>
          <w:color w:val="auto"/>
        </w:rPr>
        <w:t>，</w:t>
      </w:r>
      <w:r>
        <w:rPr>
          <w:rFonts w:hint="eastAsia"/>
          <w:color w:val="auto"/>
          <w:szCs w:val="32"/>
        </w:rPr>
        <w:t>积极推进美年大健康改建项目，倡导居民定期进行健康体检，</w:t>
      </w:r>
      <w:r>
        <w:rPr>
          <w:rFonts w:hint="eastAsia"/>
          <w:color w:val="auto"/>
        </w:rPr>
        <w:t>培育形成</w:t>
      </w:r>
      <w:r>
        <w:rPr>
          <w:color w:val="auto"/>
        </w:rPr>
        <w:t>人人具备健康素养，人人养成健康习惯，人人参加健身活动，人人动手清洁家园，人人享有健康</w:t>
      </w:r>
      <w:r>
        <w:rPr>
          <w:rFonts w:hint="eastAsia"/>
          <w:color w:val="auto"/>
        </w:rPr>
        <w:t>生活</w:t>
      </w:r>
      <w:r>
        <w:rPr>
          <w:color w:val="auto"/>
        </w:rPr>
        <w:t>的</w:t>
      </w:r>
      <w:r>
        <w:rPr>
          <w:rFonts w:hint="eastAsia"/>
          <w:color w:val="auto"/>
        </w:rPr>
        <w:t>全民大健康格局</w:t>
      </w:r>
      <w:r>
        <w:rPr>
          <w:color w:val="auto"/>
        </w:rPr>
        <w:t>。</w:t>
      </w:r>
    </w:p>
    <w:p>
      <w:pPr>
        <w:pStyle w:val="4"/>
        <w:adjustRightInd w:val="0"/>
        <w:snapToGrid/>
        <w:spacing w:before="0" w:beforeLines="0" w:after="0" w:afterLines="0"/>
        <w:contextualSpacing w:val="0"/>
        <w:rPr>
          <w:rFonts w:ascii="Times New Roman" w:hAnsi="Times New Roman" w:cs="Times New Roman"/>
          <w:color w:val="auto"/>
        </w:rPr>
      </w:pPr>
      <w:bookmarkStart w:id="190" w:name="_Toc24436"/>
      <w:bookmarkStart w:id="191" w:name="_Toc60300045"/>
      <w:bookmarkStart w:id="192" w:name="_Toc9538"/>
      <w:bookmarkStart w:id="193" w:name="_Toc60744840"/>
      <w:bookmarkStart w:id="194" w:name="_Toc61625606"/>
      <w:bookmarkStart w:id="195" w:name="_Toc56373927"/>
      <w:r>
        <w:rPr>
          <w:rFonts w:hint="eastAsia" w:ascii="Times New Roman" w:hAnsi="Times New Roman" w:cs="Times New Roman"/>
          <w:color w:val="auto"/>
        </w:rPr>
        <w:t>二、落实高层次就业优先</w:t>
      </w:r>
      <w:bookmarkEnd w:id="190"/>
      <w:bookmarkEnd w:id="191"/>
      <w:bookmarkEnd w:id="192"/>
      <w:bookmarkEnd w:id="193"/>
      <w:bookmarkEnd w:id="194"/>
    </w:p>
    <w:p>
      <w:pPr>
        <w:ind w:firstLine="643"/>
        <w:rPr>
          <w:color w:val="auto"/>
        </w:rPr>
      </w:pPr>
      <w:r>
        <w:rPr>
          <w:rFonts w:hint="eastAsia"/>
          <w:b/>
          <w:bCs/>
          <w:color w:val="auto"/>
        </w:rPr>
        <w:t>加大就业技能培训</w:t>
      </w:r>
      <w:r>
        <w:rPr>
          <w:color w:val="auto"/>
        </w:rPr>
        <w:t>。</w:t>
      </w:r>
      <w:r>
        <w:rPr>
          <w:rFonts w:hint="eastAsia"/>
          <w:color w:val="auto"/>
        </w:rPr>
        <w:t>积极推进职业教育实训楼扩建项目，</w:t>
      </w:r>
      <w:r>
        <w:rPr>
          <w:color w:val="auto"/>
        </w:rPr>
        <w:t>整合人力资源和社会保障、农业、教育、扶贫、群团等部门就业培训资源，充分发挥企业、</w:t>
      </w:r>
      <w:r>
        <w:rPr>
          <w:rFonts w:hint="eastAsia"/>
          <w:color w:val="auto"/>
        </w:rPr>
        <w:t>学校</w:t>
      </w:r>
      <w:r>
        <w:rPr>
          <w:color w:val="auto"/>
        </w:rPr>
        <w:t>、职业培训机构等社会培训主体作用，以政府补贴、企业宣传等方式充分调动劳动者参与培训活动的积极性</w:t>
      </w:r>
      <w:r>
        <w:rPr>
          <w:rFonts w:hint="eastAsia"/>
          <w:color w:val="auto"/>
        </w:rPr>
        <w:t>，</w:t>
      </w:r>
      <w:r>
        <w:rPr>
          <w:color w:val="auto"/>
        </w:rPr>
        <w:t>为有劳动能力、有就业意愿的居民提供全员技能培训</w:t>
      </w:r>
      <w:r>
        <w:rPr>
          <w:rFonts w:hint="eastAsia"/>
          <w:color w:val="auto"/>
        </w:rPr>
        <w:t>。围绕</w:t>
      </w:r>
      <w:r>
        <w:rPr>
          <w:color w:val="auto"/>
        </w:rPr>
        <w:t>缓解结构性就业矛盾，加快提升劳动者技能素质，</w:t>
      </w:r>
      <w:r>
        <w:rPr>
          <w:rFonts w:hint="eastAsia"/>
          <w:color w:val="auto"/>
        </w:rPr>
        <w:t>逐步</w:t>
      </w:r>
      <w:r>
        <w:rPr>
          <w:color w:val="auto"/>
        </w:rPr>
        <w:t>形成以就业技能培训</w:t>
      </w:r>
      <w:r>
        <w:rPr>
          <w:rFonts w:hint="eastAsia"/>
          <w:color w:val="auto"/>
        </w:rPr>
        <w:t>为主</w:t>
      </w:r>
      <w:r>
        <w:rPr>
          <w:color w:val="auto"/>
        </w:rPr>
        <w:t>、岗位技能提升培训</w:t>
      </w:r>
      <w:r>
        <w:rPr>
          <w:rFonts w:hint="eastAsia"/>
          <w:color w:val="auto"/>
        </w:rPr>
        <w:t>为辅</w:t>
      </w:r>
      <w:r>
        <w:rPr>
          <w:color w:val="auto"/>
        </w:rPr>
        <w:t>的</w:t>
      </w:r>
      <w:r>
        <w:rPr>
          <w:rFonts w:hint="eastAsia"/>
          <w:color w:val="auto"/>
        </w:rPr>
        <w:t>就业</w:t>
      </w:r>
      <w:r>
        <w:rPr>
          <w:color w:val="auto"/>
        </w:rPr>
        <w:t>培训体系</w:t>
      </w:r>
      <w:r>
        <w:rPr>
          <w:rFonts w:hint="eastAsia"/>
          <w:color w:val="auto"/>
        </w:rPr>
        <w:t>。</w:t>
      </w:r>
    </w:p>
    <w:p>
      <w:pPr>
        <w:ind w:firstLine="643"/>
        <w:rPr>
          <w:color w:val="auto"/>
        </w:rPr>
      </w:pPr>
      <w:r>
        <w:rPr>
          <w:b/>
          <w:bCs/>
          <w:color w:val="auto"/>
        </w:rPr>
        <w:t>强化</w:t>
      </w:r>
      <w:r>
        <w:rPr>
          <w:rFonts w:hint="eastAsia"/>
          <w:b/>
          <w:bCs/>
          <w:color w:val="auto"/>
        </w:rPr>
        <w:t>商贸服务业带动就业</w:t>
      </w:r>
      <w:r>
        <w:rPr>
          <w:color w:val="auto"/>
        </w:rPr>
        <w:t>。</w:t>
      </w:r>
      <w:r>
        <w:rPr>
          <w:rFonts w:hint="eastAsia"/>
          <w:color w:val="auto"/>
        </w:rPr>
        <w:t>持续强化招商引资，抓好落户项目的服务和好的做法。始终坚持诚信招商，真诚服务理念，为招商提供良好的外部环境，同时加快推进在建项目，督促项目尽快建成投产。依托城东北片区商业综合体项目建设，解决2000余人就业，推进廊桥餐饮一条街、恒大养生谷以及酒店新建等项目，带动就业，维持城镇失业率在1%以下。支持</w:t>
      </w:r>
      <w:r>
        <w:rPr>
          <w:color w:val="auto"/>
        </w:rPr>
        <w:t>大学</w:t>
      </w:r>
      <w:r>
        <w:rPr>
          <w:rFonts w:hint="eastAsia"/>
          <w:color w:val="auto"/>
        </w:rPr>
        <w:t>毕业</w:t>
      </w:r>
      <w:r>
        <w:rPr>
          <w:color w:val="auto"/>
        </w:rPr>
        <w:t>生、</w:t>
      </w:r>
      <w:r>
        <w:rPr>
          <w:rFonts w:hint="eastAsia"/>
          <w:color w:val="auto"/>
        </w:rPr>
        <w:t>回国留学生</w:t>
      </w:r>
      <w:r>
        <w:rPr>
          <w:color w:val="auto"/>
        </w:rPr>
        <w:t>、</w:t>
      </w:r>
      <w:r>
        <w:rPr>
          <w:rFonts w:hint="eastAsia"/>
          <w:color w:val="auto"/>
        </w:rPr>
        <w:t>返乡企业老板等群体</w:t>
      </w:r>
      <w:r>
        <w:rPr>
          <w:color w:val="auto"/>
        </w:rPr>
        <w:t>创业</w:t>
      </w:r>
      <w:r>
        <w:rPr>
          <w:rFonts w:hint="eastAsia"/>
          <w:color w:val="auto"/>
        </w:rPr>
        <w:t>。</w:t>
      </w:r>
    </w:p>
    <w:p>
      <w:pPr>
        <w:ind w:firstLine="643"/>
        <w:rPr>
          <w:color w:val="auto"/>
        </w:rPr>
      </w:pPr>
      <w:r>
        <w:rPr>
          <w:rFonts w:hint="eastAsia"/>
          <w:b/>
          <w:bCs/>
          <w:color w:val="auto"/>
        </w:rPr>
        <w:t>积极</w:t>
      </w:r>
      <w:r>
        <w:rPr>
          <w:b/>
          <w:bCs/>
          <w:color w:val="auto"/>
        </w:rPr>
        <w:t>拓宽就业渠道</w:t>
      </w:r>
      <w:r>
        <w:rPr>
          <w:color w:val="auto"/>
        </w:rPr>
        <w:t>。充分发挥</w:t>
      </w:r>
      <w:r>
        <w:rPr>
          <w:rFonts w:hint="eastAsia"/>
          <w:color w:val="auto"/>
        </w:rPr>
        <w:t>“</w:t>
      </w:r>
      <w:r>
        <w:rPr>
          <w:color w:val="auto"/>
        </w:rPr>
        <w:t>互联网+”</w:t>
      </w:r>
      <w:r>
        <w:rPr>
          <w:rFonts w:hint="eastAsia"/>
          <w:color w:val="auto"/>
        </w:rPr>
        <w:t>平台</w:t>
      </w:r>
      <w:r>
        <w:rPr>
          <w:color w:val="auto"/>
        </w:rPr>
        <w:t>作用，推进就业创业信息开放共享</w:t>
      </w:r>
      <w:r>
        <w:rPr>
          <w:rFonts w:hint="eastAsia"/>
          <w:color w:val="auto"/>
        </w:rPr>
        <w:t>，围绕</w:t>
      </w:r>
      <w:r>
        <w:rPr>
          <w:rFonts w:hint="eastAsia"/>
          <w:bCs/>
          <w:color w:val="auto"/>
          <w:szCs w:val="32"/>
        </w:rPr>
        <w:t>解决疫情影响，积极对接全市“春风行动”，</w:t>
      </w:r>
      <w:r>
        <w:rPr>
          <w:rFonts w:hint="eastAsia"/>
          <w:color w:val="auto"/>
        </w:rPr>
        <w:t>做好</w:t>
      </w:r>
      <w:r>
        <w:rPr>
          <w:color w:val="auto"/>
        </w:rPr>
        <w:t>就业需求调查和失业监测预警</w:t>
      </w:r>
      <w:r>
        <w:rPr>
          <w:rFonts w:hint="eastAsia"/>
          <w:color w:val="auto"/>
        </w:rPr>
        <w:t>，</w:t>
      </w:r>
      <w:r>
        <w:rPr>
          <w:rFonts w:hint="eastAsia"/>
          <w:bCs/>
          <w:color w:val="auto"/>
          <w:szCs w:val="32"/>
        </w:rPr>
        <w:t>推进“就业需求清单”和“岗位供给清单”的精准匹配</w:t>
      </w:r>
      <w:r>
        <w:rPr>
          <w:color w:val="auto"/>
        </w:rPr>
        <w:t>。支持就业形态新型化、多元化</w:t>
      </w:r>
      <w:r>
        <w:rPr>
          <w:rFonts w:hint="eastAsia"/>
          <w:color w:val="auto"/>
        </w:rPr>
        <w:t>、规范化</w:t>
      </w:r>
      <w:r>
        <w:rPr>
          <w:color w:val="auto"/>
        </w:rPr>
        <w:t>发展，</w:t>
      </w:r>
      <w:r>
        <w:rPr>
          <w:rFonts w:hint="eastAsia"/>
          <w:color w:val="auto"/>
        </w:rPr>
        <w:t>积极</w:t>
      </w:r>
      <w:r>
        <w:rPr>
          <w:color w:val="auto"/>
        </w:rPr>
        <w:t>宣传推广“文创”</w:t>
      </w:r>
      <w:r>
        <w:rPr>
          <w:rFonts w:hint="eastAsia"/>
          <w:color w:val="auto"/>
        </w:rPr>
        <w:t>、</w:t>
      </w:r>
      <w:r>
        <w:rPr>
          <w:color w:val="auto"/>
        </w:rPr>
        <w:t>“网淘”等新型就业模式，探索性对去雇主化、平台化的灵活就业者给予政策扶持。完善重点群体就业支持体系，</w:t>
      </w:r>
      <w:r>
        <w:rPr>
          <w:rFonts w:hint="eastAsia"/>
          <w:color w:val="auto"/>
        </w:rPr>
        <w:t>健全</w:t>
      </w:r>
      <w:r>
        <w:rPr>
          <w:color w:val="auto"/>
        </w:rPr>
        <w:t>就业援助制度和公益性岗位开发安置制度，帮扶残疾人、零就业家庭成员就业。</w:t>
      </w:r>
      <w:bookmarkEnd w:id="195"/>
    </w:p>
    <w:p>
      <w:pPr>
        <w:pStyle w:val="4"/>
        <w:adjustRightInd w:val="0"/>
        <w:snapToGrid/>
        <w:spacing w:before="0" w:beforeLines="0" w:after="0" w:afterLines="0"/>
        <w:contextualSpacing w:val="0"/>
        <w:rPr>
          <w:rFonts w:ascii="Times New Roman" w:hAnsi="Times New Roman" w:cs="Times New Roman"/>
          <w:color w:val="auto"/>
        </w:rPr>
      </w:pPr>
      <w:bookmarkStart w:id="196" w:name="_Toc57764032"/>
      <w:bookmarkStart w:id="197" w:name="_Toc16073"/>
      <w:bookmarkStart w:id="198" w:name="_Toc60744841"/>
      <w:bookmarkStart w:id="199" w:name="_Toc13582"/>
      <w:bookmarkStart w:id="200" w:name="_Toc61625607"/>
      <w:bookmarkStart w:id="201" w:name="_Toc60300046"/>
      <w:r>
        <w:rPr>
          <w:rFonts w:hint="eastAsia" w:ascii="Times New Roman" w:hAnsi="Times New Roman" w:cs="Times New Roman"/>
          <w:color w:val="auto"/>
        </w:rPr>
        <w:t>三</w:t>
      </w:r>
      <w:bookmarkEnd w:id="189"/>
      <w:bookmarkEnd w:id="196"/>
      <w:r>
        <w:rPr>
          <w:rFonts w:hint="eastAsia" w:ascii="Times New Roman" w:hAnsi="Times New Roman" w:cs="Times New Roman"/>
          <w:color w:val="auto"/>
        </w:rPr>
        <w:t>、提升高水平教育保障</w:t>
      </w:r>
      <w:bookmarkEnd w:id="197"/>
      <w:bookmarkEnd w:id="198"/>
      <w:bookmarkEnd w:id="199"/>
      <w:bookmarkEnd w:id="200"/>
      <w:bookmarkEnd w:id="201"/>
    </w:p>
    <w:p>
      <w:pPr>
        <w:ind w:firstLine="643"/>
        <w:rPr>
          <w:b/>
          <w:bCs/>
          <w:color w:val="auto"/>
        </w:rPr>
      </w:pPr>
      <w:r>
        <w:rPr>
          <w:rFonts w:hint="eastAsia"/>
          <w:b/>
          <w:bCs/>
          <w:color w:val="auto"/>
        </w:rPr>
        <w:t>提高基础教育保障水平。</w:t>
      </w:r>
      <w:r>
        <w:rPr>
          <w:rFonts w:hint="eastAsia"/>
          <w:color w:val="auto"/>
        </w:rPr>
        <w:t>以大冶市城东北片区为中心，新建大冶市尹家湖公立幼儿园，扩建英博幼儿园、大冶市机关幼儿园，积极对接全市幼儿园总体布局规划，建立政府主导、公办民办并举的办园体制，不断扩大优质学前教育资源，创建省级幼儿园。</w:t>
      </w:r>
      <w:r>
        <w:rPr>
          <w:color w:val="auto"/>
        </w:rPr>
        <w:t>完善资助方式，实现家庭经济困难学生</w:t>
      </w:r>
      <w:r>
        <w:rPr>
          <w:rFonts w:hint="eastAsia"/>
          <w:color w:val="auto"/>
        </w:rPr>
        <w:t>义务教育</w:t>
      </w:r>
      <w:r>
        <w:rPr>
          <w:color w:val="auto"/>
        </w:rPr>
        <w:t>资助全覆盖</w:t>
      </w:r>
      <w:r>
        <w:rPr>
          <w:rFonts w:hint="eastAsia"/>
          <w:color w:val="auto"/>
        </w:rPr>
        <w:t>，</w:t>
      </w:r>
      <w:r>
        <w:rPr>
          <w:color w:val="auto"/>
        </w:rPr>
        <w:t>高质量打造关爱留守儿童“春雨班”</w:t>
      </w:r>
      <w:r>
        <w:rPr>
          <w:rFonts w:hint="eastAsia"/>
          <w:color w:val="auto"/>
        </w:rPr>
        <w:t>。积极配合街办内市直属的大冶市第一中学、大冶市新街小学校园、改建大冶市实验中学、大冶市第二实验中学、大冶市育才小学、师范附属小学、北门小学、实验小学等一大批学校，进一步加大基础建设力度，加强厕所、食堂、运动场、多功能活动室等教育基础环境设施建设，推动教育办学水平跃上新台阶。</w:t>
      </w:r>
    </w:p>
    <w:p>
      <w:pPr>
        <w:ind w:firstLine="643"/>
        <w:rPr>
          <w:color w:val="auto"/>
        </w:rPr>
      </w:pPr>
      <w:r>
        <w:rPr>
          <w:rFonts w:hint="eastAsia"/>
          <w:b/>
          <w:bCs/>
          <w:color w:val="auto"/>
        </w:rPr>
        <w:t>加快布局职业技术教育</w:t>
      </w:r>
      <w:r>
        <w:rPr>
          <w:rFonts w:hint="eastAsia"/>
          <w:color w:val="auto"/>
        </w:rPr>
        <w:t>。</w:t>
      </w:r>
      <w:r>
        <w:rPr>
          <w:color w:val="auto"/>
        </w:rPr>
        <w:t>以产教融合、多方参与为主线，按照“政府主导、校企合作、骨干带动、互惠共赢”的原则，</w:t>
      </w:r>
      <w:r>
        <w:rPr>
          <w:rFonts w:hint="eastAsia"/>
          <w:color w:val="auto"/>
        </w:rPr>
        <w:t>深化职普融通、产教融合、校企合作，围绕新兴产业发展和新型农民培养，探索中国特色学徒制，大力培养技术技能人才，推动</w:t>
      </w:r>
      <w:r>
        <w:rPr>
          <w:color w:val="auto"/>
        </w:rPr>
        <w:t>建立与产业发展相适应的具备教学、生产、培训和鉴定等多种功能的公共实训基地。</w:t>
      </w:r>
    </w:p>
    <w:p>
      <w:pPr>
        <w:pStyle w:val="4"/>
        <w:adjustRightInd w:val="0"/>
        <w:snapToGrid/>
        <w:spacing w:before="0" w:beforeLines="0" w:after="0" w:afterLines="0"/>
        <w:contextualSpacing w:val="0"/>
        <w:rPr>
          <w:rFonts w:ascii="Times New Roman" w:hAnsi="Times New Roman" w:cs="Times New Roman"/>
          <w:color w:val="auto"/>
        </w:rPr>
      </w:pPr>
      <w:bookmarkStart w:id="202" w:name="_Toc60300047"/>
      <w:bookmarkStart w:id="203" w:name="_Toc61625608"/>
      <w:bookmarkStart w:id="204" w:name="_Toc21630"/>
      <w:bookmarkStart w:id="205" w:name="_Toc56373930"/>
      <w:bookmarkStart w:id="206" w:name="_Toc10474"/>
      <w:bookmarkStart w:id="207" w:name="_Toc60744842"/>
      <w:bookmarkStart w:id="208" w:name="_Toc57764033"/>
      <w:r>
        <w:rPr>
          <w:rFonts w:hint="eastAsia" w:ascii="Times New Roman" w:hAnsi="Times New Roman" w:cs="Times New Roman"/>
          <w:color w:val="auto"/>
        </w:rPr>
        <w:t>四、夯实高质量</w:t>
      </w:r>
      <w:r>
        <w:rPr>
          <w:rFonts w:ascii="Times New Roman" w:hAnsi="Times New Roman" w:cs="Times New Roman"/>
          <w:color w:val="auto"/>
        </w:rPr>
        <w:t>社会保障</w:t>
      </w:r>
      <w:bookmarkEnd w:id="202"/>
      <w:bookmarkEnd w:id="203"/>
      <w:bookmarkEnd w:id="204"/>
      <w:bookmarkEnd w:id="205"/>
      <w:bookmarkEnd w:id="206"/>
      <w:bookmarkEnd w:id="207"/>
      <w:bookmarkEnd w:id="208"/>
    </w:p>
    <w:p>
      <w:pPr>
        <w:ind w:firstLine="643"/>
        <w:rPr>
          <w:color w:val="auto"/>
        </w:rPr>
      </w:pPr>
      <w:r>
        <w:rPr>
          <w:b/>
          <w:bCs/>
          <w:color w:val="auto"/>
        </w:rPr>
        <w:t>落实社会保障政策。</w:t>
      </w:r>
      <w:r>
        <w:rPr>
          <w:rFonts w:hint="eastAsia"/>
          <w:color w:val="auto"/>
        </w:rPr>
        <w:t>深入贯彻落实各类社会保险政策，加大</w:t>
      </w:r>
      <w:r>
        <w:rPr>
          <w:color w:val="auto"/>
          <w:szCs w:val="32"/>
        </w:rPr>
        <w:t>城镇居民</w:t>
      </w:r>
      <w:r>
        <w:rPr>
          <w:rFonts w:hint="eastAsia"/>
          <w:color w:val="auto"/>
          <w:szCs w:val="32"/>
        </w:rPr>
        <w:t>基本医疗保险</w:t>
      </w:r>
      <w:r>
        <w:rPr>
          <w:color w:val="auto"/>
          <w:szCs w:val="32"/>
        </w:rPr>
        <w:t>和城乡居民养老保险宣传</w:t>
      </w:r>
      <w:r>
        <w:rPr>
          <w:rFonts w:hint="eastAsia"/>
          <w:color w:val="auto"/>
          <w:szCs w:val="32"/>
        </w:rPr>
        <w:t>，抓好非公有制企业、灵活就业人员的参保工作，稳步提升城乡居民参保率；</w:t>
      </w:r>
      <w:r>
        <w:rPr>
          <w:rFonts w:hint="eastAsia"/>
          <w:color w:val="auto"/>
        </w:rPr>
        <w:t>组织失业人员开展就业知识培训，落实社保补贴，争取2025年打造2个“湖北省充分就业社区”。</w:t>
      </w:r>
    </w:p>
    <w:p>
      <w:pPr>
        <w:ind w:firstLine="643"/>
        <w:rPr>
          <w:color w:val="auto"/>
        </w:rPr>
      </w:pPr>
      <w:r>
        <w:rPr>
          <w:rFonts w:hint="eastAsia"/>
          <w:b/>
          <w:bCs/>
          <w:color w:val="auto"/>
        </w:rPr>
        <w:t>完善社会</w:t>
      </w:r>
      <w:r>
        <w:rPr>
          <w:b/>
          <w:bCs/>
          <w:color w:val="auto"/>
        </w:rPr>
        <w:t>救助</w:t>
      </w:r>
      <w:r>
        <w:rPr>
          <w:rFonts w:hint="eastAsia"/>
          <w:b/>
          <w:bCs/>
          <w:color w:val="auto"/>
        </w:rPr>
        <w:t>体系。</w:t>
      </w:r>
      <w:r>
        <w:rPr>
          <w:color w:val="auto"/>
        </w:rPr>
        <w:t>以扶老、助残、救孤、济困为重点，创新关爱</w:t>
      </w:r>
      <w:r>
        <w:rPr>
          <w:rFonts w:hint="eastAsia"/>
          <w:color w:val="auto"/>
        </w:rPr>
        <w:t>城乡困难</w:t>
      </w:r>
      <w:r>
        <w:rPr>
          <w:color w:val="auto"/>
        </w:rPr>
        <w:t>群体举措，切实保障</w:t>
      </w:r>
      <w:r>
        <w:rPr>
          <w:rFonts w:hint="eastAsia"/>
          <w:color w:val="auto"/>
        </w:rPr>
        <w:t>孤寡老人、事实无依靠儿童、残疾人等困难</w:t>
      </w:r>
      <w:r>
        <w:rPr>
          <w:color w:val="auto"/>
        </w:rPr>
        <w:t>群体基本生活</w:t>
      </w:r>
      <w:r>
        <w:rPr>
          <w:rFonts w:hint="eastAsia"/>
          <w:color w:val="auto"/>
        </w:rPr>
        <w:t>。落实好残疾人“两项补贴”福利制度，对残疾人进一步采取政策救助、社会帮困等措施，保障他们的基本生活，同时充分发挥残疾人协会的作用，解决残疾人群体的困难。对经济困难户在努力帮助他们自身解困的同时，在区民政局指导下，进一步开展对特困对象的调查，摸清底数，加大政策的聚焦力度。落实</w:t>
      </w:r>
      <w:r>
        <w:rPr>
          <w:color w:val="auto"/>
        </w:rPr>
        <w:t>城</w:t>
      </w:r>
      <w:r>
        <w:rPr>
          <w:rFonts w:hint="eastAsia"/>
          <w:color w:val="auto"/>
        </w:rPr>
        <w:t>镇</w:t>
      </w:r>
      <w:r>
        <w:rPr>
          <w:color w:val="auto"/>
        </w:rPr>
        <w:t>低保</w:t>
      </w:r>
      <w:r>
        <w:rPr>
          <w:rFonts w:hint="eastAsia"/>
          <w:color w:val="auto"/>
        </w:rPr>
        <w:t>和</w:t>
      </w:r>
      <w:r>
        <w:rPr>
          <w:color w:val="auto"/>
        </w:rPr>
        <w:t>医疗救助制度，</w:t>
      </w:r>
      <w:r>
        <w:rPr>
          <w:rFonts w:hint="eastAsia"/>
          <w:color w:val="auto"/>
        </w:rPr>
        <w:t>稳步</w:t>
      </w:r>
      <w:r>
        <w:rPr>
          <w:color w:val="auto"/>
        </w:rPr>
        <w:t>提高</w:t>
      </w:r>
      <w:r>
        <w:rPr>
          <w:rFonts w:hint="eastAsia"/>
          <w:color w:val="auto"/>
        </w:rPr>
        <w:t>困难群体</w:t>
      </w:r>
      <w:r>
        <w:rPr>
          <w:color w:val="auto"/>
        </w:rPr>
        <w:t>供养水平</w:t>
      </w:r>
      <w:r>
        <w:rPr>
          <w:rFonts w:hint="eastAsia"/>
          <w:color w:val="auto"/>
        </w:rPr>
        <w:t>、</w:t>
      </w:r>
      <w:r>
        <w:rPr>
          <w:color w:val="auto"/>
        </w:rPr>
        <w:t>医疗救助水平和医疗救助标准</w:t>
      </w:r>
      <w:r>
        <w:rPr>
          <w:rFonts w:hint="eastAsia"/>
          <w:color w:val="auto"/>
        </w:rPr>
        <w:t>。引导居民积极参与社区组建的志愿者服务队伍，空巢老人、留守儿童、残疾人等特殊群体进行服务。</w:t>
      </w:r>
    </w:p>
    <w:p>
      <w:pPr>
        <w:pStyle w:val="4"/>
        <w:adjustRightInd w:val="0"/>
        <w:snapToGrid/>
        <w:spacing w:before="0" w:beforeLines="0" w:after="0" w:afterLines="0"/>
        <w:contextualSpacing w:val="0"/>
        <w:rPr>
          <w:rFonts w:ascii="Times New Roman" w:hAnsi="Times New Roman" w:cs="Times New Roman"/>
          <w:color w:val="auto"/>
        </w:rPr>
      </w:pPr>
      <w:bookmarkStart w:id="209" w:name="_Toc57764034"/>
      <w:bookmarkStart w:id="210" w:name="_Toc56373931"/>
      <w:bookmarkStart w:id="211" w:name="_Toc60744843"/>
      <w:bookmarkStart w:id="212" w:name="_Toc10455"/>
      <w:bookmarkStart w:id="213" w:name="_Toc61625609"/>
      <w:bookmarkStart w:id="214" w:name="_Toc17449"/>
      <w:bookmarkStart w:id="215" w:name="_Toc60300048"/>
      <w:r>
        <w:rPr>
          <w:rFonts w:hint="eastAsia" w:ascii="Times New Roman" w:hAnsi="Times New Roman" w:cs="Times New Roman"/>
          <w:color w:val="auto"/>
        </w:rPr>
        <w:t>五、推进高程度居家</w:t>
      </w:r>
      <w:r>
        <w:rPr>
          <w:rFonts w:ascii="Times New Roman" w:hAnsi="Times New Roman" w:cs="Times New Roman"/>
          <w:color w:val="auto"/>
        </w:rPr>
        <w:t>养老</w:t>
      </w:r>
      <w:bookmarkEnd w:id="209"/>
      <w:bookmarkEnd w:id="210"/>
      <w:bookmarkEnd w:id="211"/>
      <w:bookmarkEnd w:id="212"/>
      <w:bookmarkEnd w:id="213"/>
      <w:bookmarkEnd w:id="214"/>
      <w:bookmarkEnd w:id="215"/>
    </w:p>
    <w:p>
      <w:pPr>
        <w:ind w:firstLine="643"/>
        <w:rPr>
          <w:color w:val="auto"/>
          <w:szCs w:val="32"/>
          <w:shd w:val="clear" w:color="auto" w:fill="FFFFFF"/>
        </w:rPr>
      </w:pPr>
      <w:r>
        <w:rPr>
          <w:b/>
          <w:bCs/>
          <w:color w:val="auto"/>
          <w:szCs w:val="32"/>
          <w:shd w:val="clear" w:color="auto" w:fill="FFFFFF"/>
        </w:rPr>
        <w:t>扩大居家养老覆盖面。</w:t>
      </w:r>
      <w:r>
        <w:rPr>
          <w:color w:val="auto"/>
        </w:rPr>
        <w:t>落实养老服务支持制度和老年人养老补贴制度，精准提供社会救助兜底养老服务</w:t>
      </w:r>
      <w:r>
        <w:rPr>
          <w:rFonts w:hint="eastAsia"/>
          <w:color w:val="auto"/>
        </w:rPr>
        <w:t>。</w:t>
      </w:r>
      <w:r>
        <w:rPr>
          <w:color w:val="auto"/>
          <w:szCs w:val="32"/>
          <w:shd w:val="clear" w:color="auto" w:fill="FFFFFF"/>
        </w:rPr>
        <w:t>以实施“居家养老服务中心”为抓手，提升社区服务设施和场所的档次，不断扩大居家养老的覆盖面，使地区内有居家养老要求的老人都能享受就近、便捷、专业的照料和服务，使服务内容从单纯的生活照料扩展到精神籍慰等方面，切实做到老有所养、老有所医、老有所教、老有所学、老有所为、老有所乐。</w:t>
      </w:r>
    </w:p>
    <w:p>
      <w:pPr>
        <w:ind w:firstLine="643"/>
        <w:rPr>
          <w:color w:val="auto"/>
          <w:szCs w:val="32"/>
          <w:shd w:val="clear" w:color="auto" w:fill="FFFFFF"/>
        </w:rPr>
      </w:pPr>
      <w:r>
        <w:rPr>
          <w:b/>
          <w:bCs/>
          <w:color w:val="auto"/>
          <w:szCs w:val="32"/>
          <w:shd w:val="clear" w:color="auto" w:fill="FFFFFF"/>
        </w:rPr>
        <w:t>积极整合社区资源。</w:t>
      </w:r>
      <w:r>
        <w:rPr>
          <w:color w:val="auto"/>
          <w:szCs w:val="32"/>
          <w:shd w:val="clear" w:color="auto" w:fill="FFFFFF"/>
        </w:rPr>
        <w:t>促进社区与鄂东南地质大队进一步共驻共建，争取到2025年打造“省级老年宜居社区”3-4个，利用老年协会、助老志愿者队伍等自治组织，</w:t>
      </w:r>
      <w:r>
        <w:rPr>
          <w:rFonts w:hint="eastAsia"/>
          <w:color w:val="auto"/>
        </w:rPr>
        <w:t>不断</w:t>
      </w:r>
      <w:r>
        <w:rPr>
          <w:color w:val="auto"/>
        </w:rPr>
        <w:t>提升养老</w:t>
      </w:r>
      <w:r>
        <w:rPr>
          <w:rFonts w:hint="eastAsia"/>
          <w:color w:val="auto"/>
        </w:rPr>
        <w:t>服务</w:t>
      </w:r>
      <w:r>
        <w:rPr>
          <w:color w:val="auto"/>
        </w:rPr>
        <w:t>品质和养老便利性</w:t>
      </w:r>
      <w:r>
        <w:rPr>
          <w:rFonts w:hint="eastAsia"/>
          <w:color w:val="auto"/>
        </w:rPr>
        <w:t>。进一步在社区开设</w:t>
      </w:r>
      <w:r>
        <w:rPr>
          <w:color w:val="auto"/>
          <w:szCs w:val="32"/>
          <w:shd w:val="clear" w:color="auto" w:fill="FFFFFF"/>
        </w:rPr>
        <w:t>棋牌室、图书室、阅览室、娱乐室、健身室、医疗室、休息室、四点半学校、道德讲堂、老年大学等，丰富老年人生活，使老年人“老有所乐，老有所为”</w:t>
      </w:r>
      <w:r>
        <w:rPr>
          <w:rFonts w:hint="eastAsia"/>
          <w:color w:val="auto"/>
          <w:szCs w:val="32"/>
          <w:shd w:val="clear" w:color="auto" w:fill="FFFFFF"/>
        </w:rPr>
        <w:t>。</w:t>
      </w:r>
      <w:r>
        <w:rPr>
          <w:color w:val="auto"/>
          <w:szCs w:val="32"/>
          <w:shd w:val="clear" w:color="auto" w:fill="FFFFFF"/>
        </w:rPr>
        <w:t>建立老年信息库，划分片区包保，开通了“老年人服务热线”，落实国家政策，广泛宣传老年法、低保救助服务、高龄津贴</w:t>
      </w:r>
      <w:r>
        <w:rPr>
          <w:rFonts w:hint="eastAsia"/>
          <w:color w:val="auto"/>
          <w:szCs w:val="32"/>
          <w:shd w:val="clear" w:color="auto" w:fill="FFFFFF"/>
        </w:rPr>
        <w:t>。</w:t>
      </w:r>
      <w:r>
        <w:rPr>
          <w:color w:val="auto"/>
          <w:szCs w:val="32"/>
          <w:shd w:val="clear" w:color="auto" w:fill="FFFFFF"/>
        </w:rPr>
        <w:t>推动13个社区组建文艺队、舞蹈队等业余文艺团体，开展丰富多彩的活动。为辖区老年人提供求知、求乐、求健康的好场所，让他们充分享受社会大家庭的温暖。</w:t>
      </w:r>
    </w:p>
    <w:p>
      <w:pPr>
        <w:keepNext/>
        <w:keepLines/>
        <w:spacing w:before="260" w:after="260" w:line="416" w:lineRule="auto"/>
        <w:ind w:firstLine="237" w:firstLineChars="66"/>
        <w:jc w:val="center"/>
        <w:outlineLvl w:val="1"/>
        <w:rPr>
          <w:rFonts w:eastAsia="黑体"/>
          <w:bCs/>
          <w:color w:val="auto"/>
          <w:sz w:val="36"/>
          <w:szCs w:val="36"/>
        </w:rPr>
      </w:pPr>
      <w:bookmarkStart w:id="216" w:name="_Toc16164"/>
      <w:bookmarkStart w:id="217" w:name="_Toc1749"/>
      <w:r>
        <w:rPr>
          <w:rFonts w:eastAsia="黑体"/>
          <w:bCs/>
          <w:color w:val="auto"/>
          <w:sz w:val="36"/>
          <w:szCs w:val="36"/>
        </w:rPr>
        <w:t xml:space="preserve">第二节 </w:t>
      </w:r>
      <w:r>
        <w:rPr>
          <w:rFonts w:hint="eastAsia" w:eastAsia="黑体"/>
          <w:bCs/>
          <w:color w:val="auto"/>
          <w:sz w:val="36"/>
          <w:szCs w:val="36"/>
        </w:rPr>
        <w:t>实施</w:t>
      </w:r>
      <w:r>
        <w:rPr>
          <w:rFonts w:eastAsia="黑体"/>
          <w:bCs/>
          <w:color w:val="auto"/>
          <w:sz w:val="36"/>
          <w:szCs w:val="36"/>
        </w:rPr>
        <w:t>文化素质提升工程</w:t>
      </w:r>
      <w:bookmarkEnd w:id="216"/>
      <w:bookmarkEnd w:id="217"/>
    </w:p>
    <w:p>
      <w:pPr>
        <w:ind w:firstLine="643"/>
        <w:rPr>
          <w:color w:val="auto"/>
        </w:rPr>
      </w:pPr>
      <w:r>
        <w:rPr>
          <w:b/>
          <w:bCs/>
          <w:color w:val="auto"/>
        </w:rPr>
        <w:t>持续开展文明宣传和文明教育。</w:t>
      </w:r>
      <w:r>
        <w:rPr>
          <w:color w:val="auto"/>
        </w:rPr>
        <w:t>充分发挥文体办和社区作用，积极</w:t>
      </w:r>
      <w:r>
        <w:rPr>
          <w:color w:val="auto"/>
          <w:szCs w:val="32"/>
        </w:rPr>
        <w:t>利用各种宣传活动，开展形式多样的法律、法规和尊师重教的宣传学习，开展专题教育活动、文体活动和社区服务活动</w:t>
      </w:r>
      <w:r>
        <w:rPr>
          <w:rFonts w:hint="eastAsia"/>
          <w:color w:val="auto"/>
          <w:szCs w:val="32"/>
        </w:rPr>
        <w:t>。</w:t>
      </w:r>
      <w:r>
        <w:rPr>
          <w:color w:val="auto"/>
        </w:rPr>
        <w:t>坚持开展“文明创建日”活动，深入推进文明城市、文明社区等创建工作，营造“人人学习新思想、讴歌新时代、参与新实践”的良好氛围</w:t>
      </w:r>
      <w:r>
        <w:rPr>
          <w:rFonts w:hint="eastAsia"/>
          <w:color w:val="auto"/>
        </w:rPr>
        <w:t>。</w:t>
      </w:r>
      <w:r>
        <w:rPr>
          <w:color w:val="auto"/>
        </w:rPr>
        <w:t>重点推进刚由村转变为社区的五星社区、永胜社区、新美社区和伍桥社区移风易俗，遏制农村陋习，培育文明新风，引导广大居民遵纪守法、崇德向善。</w:t>
      </w:r>
    </w:p>
    <w:p>
      <w:pPr>
        <w:ind w:firstLine="643"/>
        <w:rPr>
          <w:color w:val="auto"/>
        </w:rPr>
      </w:pPr>
      <w:r>
        <w:rPr>
          <w:b/>
          <w:bCs/>
          <w:color w:val="auto"/>
        </w:rPr>
        <w:t>扎实推进“书香东岳路”建设。</w:t>
      </w:r>
      <w:r>
        <w:rPr>
          <w:color w:val="auto"/>
        </w:rPr>
        <w:t>“一家书店，点亮一座城；一城书店，滋养几代人”，利用博览书屋平台，倡导全民阅读，通过成立以家庭为单位的读书会、开办公益课堂专题讲座、组建亲子书香家庭、设立儿童绘本专区、文化名人分享经典等措施，持续做好东岳路街办的文明创建活动，不断提升城区居民文化素质，积极推动建设书香社会</w:t>
      </w:r>
      <w:r>
        <w:rPr>
          <w:rFonts w:hint="eastAsia"/>
          <w:color w:val="auto"/>
        </w:rPr>
        <w:t>。</w:t>
      </w:r>
      <w:r>
        <w:rPr>
          <w:color w:val="auto"/>
        </w:rPr>
        <w:t>大力推进社区综合文化服务中心提档升级，充分发挥各社区文化活动中心的功能与作用，组织文艺队伍等开展形式多样、内容丰富的群众文化活动，满足群众精神文化需要。</w:t>
      </w:r>
    </w:p>
    <w:p>
      <w:pPr>
        <w:ind w:firstLine="643"/>
        <w:rPr>
          <w:color w:val="auto"/>
        </w:rPr>
      </w:pPr>
      <w:r>
        <w:rPr>
          <w:b/>
          <w:bCs/>
          <w:color w:val="auto"/>
        </w:rPr>
        <w:t>积极开展文明实践和文明创建。</w:t>
      </w:r>
      <w:r>
        <w:rPr>
          <w:color w:val="auto"/>
          <w:szCs w:val="32"/>
          <w:shd w:val="clear" w:color="auto" w:fill="FFFFFF"/>
        </w:rPr>
        <w:t>持续开展“文明祭扫·同心战‘疫’”创建日活动，倡导移风易俗，开展文明祭扫</w:t>
      </w:r>
      <w:r>
        <w:rPr>
          <w:rFonts w:hint="eastAsia"/>
          <w:color w:val="auto"/>
          <w:szCs w:val="32"/>
          <w:shd w:val="clear" w:color="auto" w:fill="FFFFFF"/>
        </w:rPr>
        <w:t>。</w:t>
      </w:r>
      <w:r>
        <w:rPr>
          <w:color w:val="auto"/>
          <w:szCs w:val="32"/>
        </w:rPr>
        <w:t>坚持用社会主义核心价值体系引领广大青少年，广泛组织开展关爱未成年人活动，持续推进道德讲堂、市民学校、家长学校、校外未成年人心理健康辅导站等阵地，广泛发动群众积极开展各类文明创建活动</w:t>
      </w:r>
      <w:r>
        <w:rPr>
          <w:rFonts w:hint="eastAsia"/>
          <w:color w:val="auto"/>
          <w:szCs w:val="32"/>
        </w:rPr>
        <w:t>。</w:t>
      </w:r>
      <w:r>
        <w:rPr>
          <w:color w:val="auto"/>
          <w:szCs w:val="32"/>
          <w:shd w:val="clear" w:color="auto" w:fill="FFFFFF"/>
        </w:rPr>
        <w:t>持续开展“讲文明、去陋习，倡导健康饮食习惯”为主题爱卫月宣传活动，促进全民养成安全、健康、文明的饮食习惯和生活方式，全方位开展文明餐桌宣传，持续推行“分餐制、公勺公筷双筷制”</w:t>
      </w:r>
      <w:r>
        <w:rPr>
          <w:rFonts w:hint="eastAsia"/>
          <w:color w:val="auto"/>
          <w:szCs w:val="32"/>
          <w:shd w:val="clear" w:color="auto" w:fill="FFFFFF"/>
        </w:rPr>
        <w:t>。</w:t>
      </w:r>
      <w:r>
        <w:rPr>
          <w:color w:val="auto"/>
          <w:szCs w:val="32"/>
          <w:shd w:val="clear" w:color="auto" w:fill="FFFFFF"/>
        </w:rPr>
        <w:t>推动社区</w:t>
      </w:r>
      <w:r>
        <w:rPr>
          <w:color w:val="auto"/>
          <w:szCs w:val="32"/>
        </w:rPr>
        <w:t>广泛开展社会公德、职业道德、家庭道德，弘扬民族传统美德，着力开展学习先进人物事迹活动，营造道德模范大家共尊敬、模范事迹共学习的良好氛围。</w:t>
      </w:r>
    </w:p>
    <w:p>
      <w:pPr>
        <w:ind w:firstLine="643"/>
        <w:rPr>
          <w:color w:val="auto"/>
        </w:rPr>
      </w:pPr>
      <w:r>
        <w:rPr>
          <w:rFonts w:hint="eastAsia"/>
          <w:b/>
          <w:bCs/>
          <w:color w:val="auto"/>
        </w:rPr>
        <w:t>加大文化基础设施建设投入</w:t>
      </w:r>
      <w:r>
        <w:rPr>
          <w:rFonts w:hint="eastAsia"/>
          <w:color w:val="auto"/>
        </w:rPr>
        <w:t>。集中政府财力，积极引导社会资本投入，切实做到关系群众切身利益的文化资金优先投放，涉及公共文化服务体系建设的项目优先安排。加快推进文化站、文化馆、文化宫、图书馆、影剧院、体育馆、健身场等文体服务场馆新建改建，全面完成社区文化活动室标准化建设，不断完善公共体育健身场地和设施设备，基本形成各级各类文体设施布局合理、互为补充、覆盖面广、普惠性强的网络化格局。</w:t>
      </w:r>
    </w:p>
    <w:p>
      <w:pPr>
        <w:keepNext/>
        <w:keepLines/>
        <w:numPr>
          <w:ilvl w:val="0"/>
          <w:numId w:val="3"/>
        </w:numPr>
        <w:spacing w:before="340" w:after="330" w:line="578" w:lineRule="auto"/>
        <w:ind w:firstLine="274" w:firstLineChars="62"/>
        <w:jc w:val="center"/>
        <w:outlineLvl w:val="0"/>
        <w:rPr>
          <w:rFonts w:eastAsia="宋体"/>
          <w:b/>
          <w:bCs/>
          <w:color w:val="auto"/>
          <w:kern w:val="44"/>
          <w:sz w:val="44"/>
          <w:szCs w:val="44"/>
        </w:rPr>
      </w:pPr>
      <w:bookmarkStart w:id="218" w:name="_Toc18812"/>
      <w:bookmarkStart w:id="219" w:name="_Toc5233"/>
      <w:r>
        <w:rPr>
          <w:rFonts w:hint="eastAsia" w:eastAsia="宋体"/>
          <w:b/>
          <w:bCs/>
          <w:color w:val="auto"/>
          <w:kern w:val="44"/>
          <w:sz w:val="44"/>
          <w:szCs w:val="44"/>
        </w:rPr>
        <w:t>打造治理高效和谐城区</w:t>
      </w:r>
      <w:bookmarkEnd w:id="218"/>
      <w:bookmarkEnd w:id="219"/>
    </w:p>
    <w:p>
      <w:pPr>
        <w:keepNext/>
        <w:keepLines/>
        <w:spacing w:before="260" w:after="260" w:line="416" w:lineRule="auto"/>
        <w:ind w:firstLine="237" w:firstLineChars="66"/>
        <w:jc w:val="center"/>
        <w:outlineLvl w:val="1"/>
        <w:rPr>
          <w:rFonts w:eastAsia="黑体"/>
          <w:bCs/>
          <w:color w:val="auto"/>
          <w:sz w:val="36"/>
          <w:szCs w:val="36"/>
        </w:rPr>
      </w:pPr>
      <w:bookmarkStart w:id="220" w:name="_Toc56373936"/>
      <w:bookmarkStart w:id="221" w:name="_Toc57764036"/>
      <w:bookmarkStart w:id="222" w:name="_Toc18898"/>
      <w:bookmarkStart w:id="223" w:name="_Toc60300050"/>
      <w:bookmarkStart w:id="224" w:name="_Toc5438"/>
      <w:bookmarkStart w:id="225" w:name="_Toc60744845"/>
      <w:bookmarkStart w:id="226" w:name="_Toc56373935"/>
      <w:r>
        <w:rPr>
          <w:rFonts w:eastAsia="黑体"/>
          <w:bCs/>
          <w:color w:val="auto"/>
          <w:sz w:val="36"/>
          <w:szCs w:val="36"/>
        </w:rPr>
        <w:t>第一节 推进基层党组织建设</w:t>
      </w:r>
      <w:bookmarkEnd w:id="220"/>
      <w:bookmarkEnd w:id="221"/>
      <w:bookmarkEnd w:id="222"/>
      <w:bookmarkEnd w:id="223"/>
      <w:bookmarkEnd w:id="224"/>
      <w:bookmarkEnd w:id="225"/>
    </w:p>
    <w:p>
      <w:pPr>
        <w:ind w:firstLine="643"/>
        <w:rPr>
          <w:color w:val="auto"/>
          <w:shd w:val="clear" w:color="auto" w:fill="FFFFFF"/>
        </w:rPr>
      </w:pPr>
      <w:r>
        <w:rPr>
          <w:rFonts w:hint="eastAsia"/>
          <w:b/>
          <w:bCs/>
          <w:color w:val="auto"/>
          <w:shd w:val="clear" w:color="auto" w:fill="FFFFFF"/>
        </w:rPr>
        <w:t>强化基层党建工作</w:t>
      </w:r>
      <w:r>
        <w:rPr>
          <w:rFonts w:hint="eastAsia"/>
          <w:color w:val="auto"/>
          <w:shd w:val="clear" w:color="auto" w:fill="FFFFFF"/>
        </w:rPr>
        <w:t>。</w:t>
      </w:r>
      <w:r>
        <w:rPr>
          <w:color w:val="auto"/>
          <w:szCs w:val="32"/>
        </w:rPr>
        <w:t>持之以恒抓好</w:t>
      </w:r>
      <w:r>
        <w:rPr>
          <w:rFonts w:hint="eastAsia"/>
          <w:color w:val="auto"/>
          <w:szCs w:val="32"/>
        </w:rPr>
        <w:t>社区</w:t>
      </w:r>
      <w:r>
        <w:rPr>
          <w:color w:val="auto"/>
          <w:szCs w:val="32"/>
        </w:rPr>
        <w:t>基层</w:t>
      </w:r>
      <w:r>
        <w:rPr>
          <w:rFonts w:hint="eastAsia"/>
          <w:color w:val="auto"/>
          <w:szCs w:val="32"/>
        </w:rPr>
        <w:t>党</w:t>
      </w:r>
      <w:r>
        <w:rPr>
          <w:color w:val="auto"/>
          <w:szCs w:val="32"/>
        </w:rPr>
        <w:t>组织建设，将</w:t>
      </w:r>
      <w:r>
        <w:rPr>
          <w:rFonts w:hint="eastAsia"/>
          <w:color w:val="auto"/>
          <w:szCs w:val="32"/>
        </w:rPr>
        <w:t>基层</w:t>
      </w:r>
      <w:r>
        <w:rPr>
          <w:color w:val="auto"/>
          <w:szCs w:val="32"/>
        </w:rPr>
        <w:t>党建工作与</w:t>
      </w:r>
      <w:r>
        <w:rPr>
          <w:rFonts w:hint="eastAsia"/>
          <w:color w:val="auto"/>
          <w:szCs w:val="32"/>
        </w:rPr>
        <w:t>经济社会发展的重点</w:t>
      </w:r>
      <w:r>
        <w:rPr>
          <w:color w:val="auto"/>
          <w:szCs w:val="32"/>
        </w:rPr>
        <w:t>工作相结合，</w:t>
      </w:r>
      <w:r>
        <w:rPr>
          <w:rFonts w:hint="eastAsia"/>
          <w:color w:val="auto"/>
          <w:shd w:val="clear" w:color="auto" w:fill="FFFFFF"/>
        </w:rPr>
        <w:t>加强基层组织基本队伍、基本活动、基本阵地、基本制度、基本保障建设。实施基层党组织带头人整体优化提升行动，定期邀请社区党支部书记等为社区支部党员干部、下沉党员干部讲党课，</w:t>
      </w:r>
      <w:r>
        <w:rPr>
          <w:color w:val="auto"/>
          <w:szCs w:val="32"/>
        </w:rPr>
        <w:t>加强对流动党员</w:t>
      </w:r>
      <w:r>
        <w:rPr>
          <w:rFonts w:hint="eastAsia"/>
          <w:color w:val="auto"/>
          <w:szCs w:val="32"/>
        </w:rPr>
        <w:t>的</w:t>
      </w:r>
      <w:r>
        <w:rPr>
          <w:color w:val="auto"/>
          <w:szCs w:val="32"/>
        </w:rPr>
        <w:t>管理与教育</w:t>
      </w:r>
      <w:r>
        <w:rPr>
          <w:rFonts w:hint="eastAsia"/>
          <w:color w:val="auto"/>
          <w:szCs w:val="32"/>
        </w:rPr>
        <w:t>，</w:t>
      </w:r>
      <w:r>
        <w:rPr>
          <w:rFonts w:hint="eastAsia"/>
          <w:color w:val="auto"/>
          <w:shd w:val="clear" w:color="auto" w:fill="FFFFFF"/>
        </w:rPr>
        <w:t>持续整顿软弱涣散基层党组织，</w:t>
      </w:r>
      <w:r>
        <w:rPr>
          <w:color w:val="auto"/>
          <w:szCs w:val="32"/>
        </w:rPr>
        <w:t>推进基层党组织全面进步全面过硬</w:t>
      </w:r>
      <w:r>
        <w:rPr>
          <w:rFonts w:hint="eastAsia"/>
          <w:color w:val="auto"/>
          <w:szCs w:val="32"/>
        </w:rPr>
        <w:t>。</w:t>
      </w:r>
      <w:r>
        <w:rPr>
          <w:rFonts w:hint="eastAsia"/>
          <w:color w:val="auto"/>
          <w:shd w:val="clear" w:color="auto" w:fill="FFFFFF"/>
        </w:rPr>
        <w:t>做好培养和发展新党员；党支部严把发展党员质量关，认真做好培养、发展工作，严格执行发展党员公示制、票决制和责任追究制，不断为党组织输入了新鲜血液，增强党员队伍的新生力量。</w:t>
      </w:r>
    </w:p>
    <w:p>
      <w:pPr>
        <w:ind w:firstLine="643"/>
        <w:rPr>
          <w:color w:val="auto"/>
        </w:rPr>
      </w:pPr>
      <w:r>
        <w:rPr>
          <w:b/>
          <w:color w:val="auto"/>
          <w:szCs w:val="32"/>
        </w:rPr>
        <w:t>发挥</w:t>
      </w:r>
      <w:r>
        <w:rPr>
          <w:rFonts w:hint="eastAsia"/>
          <w:b/>
          <w:color w:val="auto"/>
          <w:szCs w:val="32"/>
        </w:rPr>
        <w:t>党员先锋</w:t>
      </w:r>
      <w:r>
        <w:rPr>
          <w:b/>
          <w:color w:val="auto"/>
          <w:szCs w:val="32"/>
        </w:rPr>
        <w:t>作用。</w:t>
      </w:r>
      <w:r>
        <w:rPr>
          <w:rFonts w:hint="eastAsia"/>
          <w:color w:val="auto"/>
          <w:shd w:val="clear" w:color="auto" w:fill="FFFFFF"/>
        </w:rPr>
        <w:t>全面推进“两学一做”常态化制度化，</w:t>
      </w:r>
      <w:r>
        <w:rPr>
          <w:color w:val="auto"/>
          <w:szCs w:val="32"/>
        </w:rPr>
        <w:t>引导党员做好本职工作，干在实处、走在前列，创先争优，</w:t>
      </w:r>
      <w:r>
        <w:rPr>
          <w:rFonts w:hint="eastAsia"/>
          <w:color w:val="auto"/>
          <w:szCs w:val="32"/>
        </w:rPr>
        <w:t>发挥模范带头作用</w:t>
      </w:r>
      <w:r>
        <w:rPr>
          <w:color w:val="auto"/>
          <w:szCs w:val="32"/>
        </w:rPr>
        <w:t>，</w:t>
      </w:r>
      <w:r>
        <w:rPr>
          <w:rFonts w:hint="eastAsia"/>
          <w:color w:val="auto"/>
          <w:shd w:val="clear" w:color="auto" w:fill="FFFFFF"/>
        </w:rPr>
        <w:t>组织开展党员设岗定责、志愿服务等活动。</w:t>
      </w:r>
      <w:r>
        <w:rPr>
          <w:color w:val="auto"/>
        </w:rPr>
        <w:t>成立</w:t>
      </w:r>
      <w:r>
        <w:rPr>
          <w:rFonts w:hint="eastAsia"/>
          <w:color w:val="auto"/>
        </w:rPr>
        <w:t>由</w:t>
      </w:r>
      <w:r>
        <w:rPr>
          <w:color w:val="auto"/>
        </w:rPr>
        <w:t>党政主要领导</w:t>
      </w:r>
      <w:r>
        <w:rPr>
          <w:rFonts w:hint="eastAsia"/>
          <w:color w:val="auto"/>
        </w:rPr>
        <w:t>和广大党员干部组成的</w:t>
      </w:r>
      <w:r>
        <w:rPr>
          <w:color w:val="auto"/>
        </w:rPr>
        <w:t>“党员志愿服务队”，分</w:t>
      </w:r>
      <w:r>
        <w:rPr>
          <w:rFonts w:hint="eastAsia"/>
          <w:color w:val="auto"/>
        </w:rPr>
        <w:t>“格网”</w:t>
      </w:r>
      <w:r>
        <w:rPr>
          <w:color w:val="auto"/>
        </w:rPr>
        <w:t>定期走访群众，</w:t>
      </w:r>
      <w:r>
        <w:rPr>
          <w:rFonts w:hint="eastAsia"/>
          <w:color w:val="auto"/>
          <w:shd w:val="clear" w:color="auto" w:fill="FFFFFF"/>
        </w:rPr>
        <w:t>帮助解决实际困难，加强对贫困人口、低保对象、留守儿童和妇女、老年人、残疾人、特困人员等人群的关爱服务。</w:t>
      </w:r>
    </w:p>
    <w:p>
      <w:pPr>
        <w:keepNext/>
        <w:keepLines/>
        <w:spacing w:before="260" w:after="260" w:line="416" w:lineRule="auto"/>
        <w:ind w:firstLine="237" w:firstLineChars="66"/>
        <w:jc w:val="center"/>
        <w:outlineLvl w:val="1"/>
        <w:rPr>
          <w:rFonts w:eastAsia="黑体"/>
          <w:bCs/>
          <w:color w:val="auto"/>
          <w:sz w:val="36"/>
          <w:szCs w:val="36"/>
        </w:rPr>
      </w:pPr>
      <w:bookmarkStart w:id="227" w:name="_Toc22118"/>
      <w:bookmarkStart w:id="228" w:name="_Toc60744846"/>
      <w:bookmarkStart w:id="229" w:name="_Toc5473"/>
      <w:bookmarkStart w:id="230" w:name="_Toc60300051"/>
      <w:bookmarkStart w:id="231" w:name="_Toc57764037"/>
      <w:r>
        <w:rPr>
          <w:rFonts w:eastAsia="黑体"/>
          <w:bCs/>
          <w:color w:val="auto"/>
          <w:sz w:val="36"/>
          <w:szCs w:val="36"/>
        </w:rPr>
        <w:t>第二节 创新基层治理模式</w:t>
      </w:r>
      <w:bookmarkEnd w:id="227"/>
      <w:bookmarkEnd w:id="228"/>
      <w:bookmarkEnd w:id="229"/>
      <w:bookmarkEnd w:id="230"/>
      <w:bookmarkEnd w:id="231"/>
    </w:p>
    <w:p>
      <w:pPr>
        <w:ind w:firstLine="643"/>
        <w:rPr>
          <w:color w:val="auto"/>
          <w:szCs w:val="32"/>
        </w:rPr>
      </w:pPr>
      <w:r>
        <w:rPr>
          <w:rFonts w:hint="eastAsia"/>
          <w:b/>
          <w:bCs/>
          <w:color w:val="auto"/>
        </w:rPr>
        <w:t>完善居民自治机制</w:t>
      </w:r>
      <w:r>
        <w:rPr>
          <w:rFonts w:hint="eastAsia"/>
          <w:color w:val="auto"/>
        </w:rPr>
        <w:t>。持续深化“党建引领·幸福社区”、</w:t>
      </w:r>
      <w:r>
        <w:rPr>
          <w:color w:val="auto"/>
          <w:szCs w:val="32"/>
        </w:rPr>
        <w:t>健全党组织领导下的居民自治、民主协商、群团带动、社会参与的工作机制，完善基层民主选举、民主协商、民主决策、民主管理、民主监督制度。推进基层群众性自治组织规范化建设，发挥</w:t>
      </w:r>
      <w:r>
        <w:rPr>
          <w:rFonts w:hint="eastAsia"/>
          <w:color w:val="auto"/>
          <w:shd w:val="clear" w:color="auto" w:fill="FFFFFF"/>
        </w:rPr>
        <w:t>群防群治力量在公共事务和公益事业办理、民间纠纷调解、治安维护协助、社情民意通达等方面的作用。</w:t>
      </w:r>
    </w:p>
    <w:p>
      <w:pPr>
        <w:ind w:firstLine="643"/>
        <w:rPr>
          <w:color w:val="auto"/>
          <w:szCs w:val="32"/>
        </w:rPr>
      </w:pPr>
      <w:r>
        <w:rPr>
          <w:b/>
          <w:bCs/>
          <w:color w:val="auto"/>
          <w:szCs w:val="32"/>
        </w:rPr>
        <w:t>创新基层治理机制</w:t>
      </w:r>
      <w:r>
        <w:rPr>
          <w:color w:val="auto"/>
          <w:szCs w:val="32"/>
        </w:rPr>
        <w:t>。依托大冶形成社区共建合力的形势，在社区党组织领导下，加快完善小区共建委员会成员，整合驻区单位和社区居民优势资源，积极带领楼栋“两长五员一户”开展议事协商、矛盾调解、邻里帮扶、优化环境等服务活动</w:t>
      </w:r>
      <w:r>
        <w:rPr>
          <w:rFonts w:hint="eastAsia"/>
          <w:color w:val="auto"/>
          <w:szCs w:val="32"/>
        </w:rPr>
        <w:t>。</w:t>
      </w:r>
      <w:r>
        <w:rPr>
          <w:color w:val="auto"/>
          <w:szCs w:val="32"/>
        </w:rPr>
        <w:t>积极解决社区人手不够、服务居民不到位的问题，社区管理从过去单打独斗、唱“独角戏”到现在共驻共建、唱“大合唱”的转变。“小事不出小区，大事不出社区”，做到阳光信访平台办结率100%，群众满意率100%，</w:t>
      </w:r>
      <w:r>
        <w:rPr>
          <w:rFonts w:hint="eastAsia"/>
          <w:color w:val="auto"/>
          <w:szCs w:val="32"/>
        </w:rPr>
        <w:t>确保</w:t>
      </w:r>
      <w:r>
        <w:rPr>
          <w:color w:val="auto"/>
          <w:szCs w:val="32"/>
        </w:rPr>
        <w:t>无进京赴省越级访事件发生。</w:t>
      </w:r>
    </w:p>
    <w:p>
      <w:pPr>
        <w:keepNext/>
        <w:keepLines/>
        <w:spacing w:before="260" w:after="260" w:line="416" w:lineRule="auto"/>
        <w:ind w:firstLine="237" w:firstLineChars="66"/>
        <w:jc w:val="center"/>
        <w:outlineLvl w:val="1"/>
        <w:rPr>
          <w:rFonts w:eastAsia="黑体"/>
          <w:bCs/>
          <w:color w:val="auto"/>
          <w:sz w:val="36"/>
          <w:szCs w:val="36"/>
        </w:rPr>
      </w:pPr>
      <w:bookmarkStart w:id="232" w:name="_Toc7347"/>
      <w:bookmarkStart w:id="233" w:name="_Toc57764038"/>
      <w:bookmarkStart w:id="234" w:name="_Toc14131"/>
      <w:r>
        <w:rPr>
          <w:rFonts w:eastAsia="黑体"/>
          <w:bCs/>
          <w:color w:val="auto"/>
          <w:sz w:val="36"/>
          <w:szCs w:val="36"/>
        </w:rPr>
        <w:t>第三节 推进法治东岳建设</w:t>
      </w:r>
      <w:bookmarkEnd w:id="232"/>
      <w:bookmarkEnd w:id="233"/>
      <w:bookmarkEnd w:id="234"/>
    </w:p>
    <w:p>
      <w:pPr>
        <w:numPr>
          <w:ilvl w:val="255"/>
          <w:numId w:val="0"/>
        </w:numPr>
        <w:ind w:firstLine="640"/>
        <w:rPr>
          <w:color w:val="auto"/>
          <w:szCs w:val="32"/>
        </w:rPr>
      </w:pPr>
      <w:r>
        <w:rPr>
          <w:rFonts w:hint="eastAsia"/>
          <w:color w:val="auto"/>
          <w:szCs w:val="32"/>
        </w:rPr>
        <w:t>深入开展“法律进乡社区”活动，加快培养引进</w:t>
      </w:r>
      <w:r>
        <w:rPr>
          <w:color w:val="auto"/>
          <w:szCs w:val="32"/>
        </w:rPr>
        <w:t>法律人才</w:t>
      </w:r>
      <w:r>
        <w:rPr>
          <w:rFonts w:hint="eastAsia"/>
          <w:color w:val="auto"/>
          <w:szCs w:val="32"/>
        </w:rPr>
        <w:t>，推进</w:t>
      </w:r>
      <w:r>
        <w:rPr>
          <w:color w:val="auto"/>
          <w:szCs w:val="32"/>
        </w:rPr>
        <w:t>法律援助</w:t>
      </w:r>
      <w:r>
        <w:rPr>
          <w:rFonts w:hint="eastAsia"/>
          <w:color w:val="auto"/>
          <w:szCs w:val="32"/>
        </w:rPr>
        <w:t>进社区，实现“一社区</w:t>
      </w:r>
      <w:r>
        <w:rPr>
          <w:color w:val="auto"/>
          <w:szCs w:val="32"/>
        </w:rPr>
        <w:t>一顾问”</w:t>
      </w:r>
      <w:r>
        <w:rPr>
          <w:rFonts w:hint="eastAsia"/>
          <w:color w:val="auto"/>
          <w:szCs w:val="32"/>
        </w:rPr>
        <w:t>。</w:t>
      </w:r>
      <w:r>
        <w:rPr>
          <w:color w:val="auto"/>
          <w:szCs w:val="32"/>
        </w:rPr>
        <w:t>扎实做好“七五”普法工作，不断增强全镇城乡居民法治意识和法律素养。扎实推进依法治理和法治创建，建设法治文化，着力营造守法光荣、违法可耻的社会风尚。坚持依法行政，努力形成依法谋事、依法办事、依法化解的法治环境。</w:t>
      </w:r>
      <w:r>
        <w:rPr>
          <w:rFonts w:hint="eastAsia"/>
          <w:color w:val="auto"/>
          <w:szCs w:val="32"/>
        </w:rPr>
        <w:t>强化资源集聚，加快整合律师、公证、仲裁、人民调解、司法所等力量，建成全时空、立体化法治服务网络，为群众提供更加便捷、优质、高效的法治服务。</w:t>
      </w:r>
    </w:p>
    <w:p>
      <w:pPr>
        <w:keepNext/>
        <w:keepLines/>
        <w:spacing w:before="260" w:after="260" w:line="416" w:lineRule="auto"/>
        <w:ind w:firstLine="237" w:firstLineChars="66"/>
        <w:jc w:val="center"/>
        <w:outlineLvl w:val="1"/>
        <w:rPr>
          <w:rFonts w:eastAsia="黑体"/>
          <w:bCs/>
          <w:color w:val="auto"/>
          <w:sz w:val="36"/>
          <w:szCs w:val="36"/>
        </w:rPr>
      </w:pPr>
      <w:bookmarkStart w:id="235" w:name="_Toc57764039"/>
      <w:bookmarkStart w:id="236" w:name="_Toc6574"/>
      <w:bookmarkStart w:id="237" w:name="_Toc6962"/>
      <w:r>
        <w:rPr>
          <w:rFonts w:eastAsia="黑体"/>
          <w:bCs/>
          <w:color w:val="auto"/>
          <w:sz w:val="36"/>
          <w:szCs w:val="36"/>
        </w:rPr>
        <w:t>第四节 推进平安东岳建设</w:t>
      </w:r>
      <w:bookmarkEnd w:id="226"/>
      <w:bookmarkEnd w:id="235"/>
      <w:bookmarkEnd w:id="236"/>
      <w:bookmarkEnd w:id="237"/>
    </w:p>
    <w:p>
      <w:pPr>
        <w:ind w:firstLine="643" w:firstLineChars="0"/>
        <w:rPr>
          <w:color w:val="auto"/>
          <w:szCs w:val="32"/>
        </w:rPr>
      </w:pPr>
      <w:r>
        <w:rPr>
          <w:color w:val="auto"/>
          <w:szCs w:val="32"/>
          <w:shd w:val="clear" w:color="auto" w:fill="FFFFFF"/>
        </w:rPr>
        <w:t>持续开展全民国家安全教育宣传创建日活动，开展宣传引导居民自觉维护国家安全，进一步提升人民群众的国家安全观意识；深入开展平安家庭、平安学校、平安社区、平安企业、平安医院、平安“三电”、平安铁道线（车站）等创建活动，健全创建标准，提升平安建设水平，充分发挥平安志愿者在平安建设中的带头作用；持续深入开展平安“两创”活动，加强各大节日、重要时段和敏感节点的安全稳定工作，防止发生重大群体性事件、重大恶性事件、暴力恐怖袭击事件。深化“大走访、大调研、大服务”活动，提升人民群众对政府部门的民调满意率，深入了解和处理群众反映集中的热点问题，调解群众之间矛盾纠纷</w:t>
      </w:r>
      <w:r>
        <w:rPr>
          <w:rFonts w:hint="eastAsia"/>
          <w:color w:val="auto"/>
          <w:szCs w:val="32"/>
          <w:shd w:val="clear" w:color="auto" w:fill="FFFFFF"/>
        </w:rPr>
        <w:t>。</w:t>
      </w:r>
      <w:r>
        <w:rPr>
          <w:color w:val="auto"/>
          <w:szCs w:val="32"/>
          <w:shd w:val="clear" w:color="auto" w:fill="FFFFFF"/>
        </w:rPr>
        <w:t>强化城乡社区网格化服务管理，加强对房屋出租户、暂住人口的登记、管理和服务工作，加大网格员日常巡查走访排查工作，充分发挥出网格员的作用</w:t>
      </w:r>
      <w:r>
        <w:rPr>
          <w:rFonts w:hint="eastAsia"/>
          <w:color w:val="auto"/>
          <w:szCs w:val="32"/>
          <w:shd w:val="clear" w:color="auto" w:fill="FFFFFF"/>
        </w:rPr>
        <w:t>。</w:t>
      </w:r>
      <w:r>
        <w:rPr>
          <w:color w:val="auto"/>
          <w:szCs w:val="32"/>
        </w:rPr>
        <w:t>强化“打防管控”四位一体工作机制，进一步完善“九张网”立体化社会治安防控体系</w:t>
      </w:r>
      <w:r>
        <w:rPr>
          <w:rFonts w:hint="eastAsia"/>
          <w:color w:val="auto"/>
          <w:szCs w:val="32"/>
        </w:rPr>
        <w:t>；</w:t>
      </w:r>
      <w:r>
        <w:rPr>
          <w:color w:val="auto"/>
          <w:szCs w:val="32"/>
        </w:rPr>
        <w:t>常态化</w:t>
      </w:r>
      <w:r>
        <w:rPr>
          <w:rFonts w:hint="eastAsia"/>
          <w:color w:val="auto"/>
          <w:szCs w:val="32"/>
        </w:rPr>
        <w:t>开展</w:t>
      </w:r>
      <w:r>
        <w:rPr>
          <w:color w:val="auto"/>
          <w:szCs w:val="32"/>
        </w:rPr>
        <w:t>主街主道、重点区域和重点部位治安巡防工作</w:t>
      </w:r>
      <w:r>
        <w:rPr>
          <w:rFonts w:hint="eastAsia"/>
          <w:color w:val="auto"/>
          <w:szCs w:val="32"/>
        </w:rPr>
        <w:t>，</w:t>
      </w:r>
      <w:r>
        <w:rPr>
          <w:color w:val="auto"/>
          <w:szCs w:val="32"/>
        </w:rPr>
        <w:t>实现“一</w:t>
      </w:r>
      <w:r>
        <w:rPr>
          <w:rFonts w:hint="eastAsia"/>
          <w:color w:val="auto"/>
          <w:szCs w:val="32"/>
        </w:rPr>
        <w:t>社区</w:t>
      </w:r>
      <w:r>
        <w:rPr>
          <w:color w:val="auto"/>
          <w:szCs w:val="32"/>
        </w:rPr>
        <w:t>一辅警”</w:t>
      </w:r>
      <w:r>
        <w:rPr>
          <w:rFonts w:hint="eastAsia"/>
          <w:color w:val="auto"/>
          <w:szCs w:val="32"/>
        </w:rPr>
        <w:t>，引导居民加入安全巡防志愿者队伍。加强社区、企事业单位，包括重点机关、学校、医院、商场、企业以及水电油管气等联通单位接入公安视频监控网的重点行业、单位、场所及部位，争取到2025年，连通率达到50%。持续</w:t>
      </w:r>
      <w:r>
        <w:rPr>
          <w:color w:val="auto"/>
          <w:szCs w:val="32"/>
        </w:rPr>
        <w:t>开展“扫黑除恶”专项斗争</w:t>
      </w:r>
      <w:r>
        <w:rPr>
          <w:rFonts w:hint="eastAsia"/>
          <w:color w:val="auto"/>
          <w:szCs w:val="32"/>
        </w:rPr>
        <w:t>，</w:t>
      </w:r>
      <w:r>
        <w:rPr>
          <w:color w:val="auto"/>
          <w:szCs w:val="32"/>
        </w:rPr>
        <w:t>严厉惩治威胁基层政权、扰乱市场秩序、强揽工程等“黑、恶、乱、痞”分子，做到露头就打，严打严治，把“扫黑除恶”专项斗争推向纵深，用实际成效增强人民群众的安全感。坚持</w:t>
      </w:r>
      <w:r>
        <w:rPr>
          <w:rFonts w:hint="eastAsia"/>
          <w:color w:val="auto"/>
          <w:szCs w:val="32"/>
        </w:rPr>
        <w:t>平安创建</w:t>
      </w:r>
      <w:r>
        <w:rPr>
          <w:color w:val="auto"/>
          <w:szCs w:val="32"/>
        </w:rPr>
        <w:t>集中宣传与经常性宣传、媒体宣传与社会宣传相结合</w:t>
      </w:r>
      <w:r>
        <w:rPr>
          <w:rFonts w:hint="eastAsia"/>
          <w:color w:val="auto"/>
          <w:szCs w:val="32"/>
        </w:rPr>
        <w:t>，</w:t>
      </w:r>
      <w:r>
        <w:rPr>
          <w:color w:val="auto"/>
          <w:szCs w:val="32"/>
        </w:rPr>
        <w:t>广泛开展</w:t>
      </w:r>
      <w:r>
        <w:rPr>
          <w:rFonts w:hint="eastAsia"/>
          <w:color w:val="auto"/>
          <w:szCs w:val="32"/>
        </w:rPr>
        <w:t>平安社区</w:t>
      </w:r>
      <w:r>
        <w:rPr>
          <w:color w:val="auto"/>
          <w:szCs w:val="32"/>
        </w:rPr>
        <w:t>创建活动</w:t>
      </w:r>
      <w:r>
        <w:rPr>
          <w:rFonts w:hint="eastAsia"/>
          <w:color w:val="auto"/>
          <w:szCs w:val="32"/>
        </w:rPr>
        <w:t>。</w:t>
      </w:r>
    </w:p>
    <w:p>
      <w:pPr>
        <w:keepNext/>
        <w:keepLines/>
        <w:spacing w:before="260" w:after="260" w:line="416" w:lineRule="auto"/>
        <w:ind w:firstLine="237" w:firstLineChars="66"/>
        <w:jc w:val="center"/>
        <w:outlineLvl w:val="1"/>
        <w:rPr>
          <w:rFonts w:eastAsia="黑体"/>
          <w:bCs/>
          <w:color w:val="auto"/>
          <w:sz w:val="36"/>
          <w:szCs w:val="36"/>
        </w:rPr>
      </w:pPr>
      <w:bookmarkStart w:id="238" w:name="_Toc57764040"/>
      <w:bookmarkStart w:id="239" w:name="_Toc17009"/>
      <w:bookmarkStart w:id="240" w:name="_Toc14104"/>
      <w:r>
        <w:rPr>
          <w:rFonts w:eastAsia="黑体"/>
          <w:bCs/>
          <w:color w:val="auto"/>
          <w:sz w:val="36"/>
          <w:szCs w:val="36"/>
        </w:rPr>
        <w:t>第五节 推进信用东岳建设</w:t>
      </w:r>
      <w:bookmarkEnd w:id="238"/>
      <w:bookmarkEnd w:id="239"/>
      <w:bookmarkEnd w:id="240"/>
    </w:p>
    <w:p>
      <w:pPr>
        <w:rPr>
          <w:color w:val="auto"/>
        </w:rPr>
      </w:pPr>
      <w:r>
        <w:rPr>
          <w:color w:val="auto"/>
          <w:szCs w:val="32"/>
          <w:shd w:val="clear" w:color="auto" w:fill="FFFFFF"/>
        </w:rPr>
        <w:t>建立健全覆盖全城区居民的信用记录和信用基础设施网络，完善守信激励和失信约束奖惩机制，大力推进政务诚信、商务诚信、社会诚信和司法公信建设，树立诚信文化理念、弘扬诚信传统美德。着眼于改善经济社会运行环境，着力提高全社会的诚信意识和信用水平，在全社会形成守信光荣、失信可耻的浓厚氛围，使诚实守信成为全体居民的自觉行为规范。</w:t>
      </w:r>
    </w:p>
    <w:bookmarkEnd w:id="178"/>
    <w:bookmarkEnd w:id="179"/>
    <w:p>
      <w:pPr>
        <w:pStyle w:val="2"/>
        <w:jc w:val="center"/>
        <w:rPr>
          <w:color w:val="auto"/>
        </w:rPr>
      </w:pPr>
      <w:bookmarkStart w:id="241" w:name="_Toc24498"/>
      <w:bookmarkStart w:id="242" w:name="_Toc31289"/>
      <w:r>
        <w:rPr>
          <w:rFonts w:hint="eastAsia"/>
          <w:color w:val="auto"/>
        </w:rPr>
        <w:t xml:space="preserve">第七章 </w:t>
      </w:r>
      <w:r>
        <w:rPr>
          <w:color w:val="auto"/>
        </w:rPr>
        <w:t>夯实实施保障措施</w:t>
      </w:r>
      <w:bookmarkEnd w:id="241"/>
      <w:bookmarkEnd w:id="242"/>
    </w:p>
    <w:p>
      <w:pPr>
        <w:pStyle w:val="43"/>
        <w:ind w:firstLine="640"/>
        <w:rPr>
          <w:color w:val="auto"/>
        </w:rPr>
      </w:pPr>
      <w:r>
        <w:rPr>
          <w:rFonts w:hint="eastAsia"/>
          <w:color w:val="auto"/>
        </w:rPr>
        <w:t>要充分认识</w:t>
      </w:r>
      <w:bookmarkStart w:id="243" w:name="_Hlk60742434"/>
      <w:r>
        <w:rPr>
          <w:rFonts w:hint="eastAsia"/>
          <w:color w:val="auto"/>
        </w:rPr>
        <w:t>东岳路街道办事处“十四五”规划</w:t>
      </w:r>
      <w:bookmarkEnd w:id="243"/>
      <w:r>
        <w:rPr>
          <w:rFonts w:hint="eastAsia"/>
          <w:color w:val="auto"/>
        </w:rPr>
        <w:t>实施的重大意义，切实加强对规划实施的组织领导，完善规划实施机制，为规划实施营造良好的环境，推进规划顺利实施，确保规划目标任务顺利完成。</w:t>
      </w:r>
    </w:p>
    <w:p>
      <w:pPr>
        <w:pStyle w:val="4"/>
        <w:adjustRightInd w:val="0"/>
        <w:snapToGrid/>
        <w:spacing w:before="0" w:beforeLines="0" w:after="0" w:afterLines="0"/>
        <w:contextualSpacing w:val="0"/>
        <w:rPr>
          <w:rFonts w:ascii="Times New Roman" w:hAnsi="Times New Roman" w:cs="Times New Roman"/>
          <w:color w:val="auto"/>
        </w:rPr>
      </w:pPr>
      <w:bookmarkStart w:id="244" w:name="_Toc26853"/>
      <w:bookmarkStart w:id="245" w:name="_Toc61338352"/>
      <w:bookmarkStart w:id="246" w:name="_Toc5483"/>
      <w:bookmarkStart w:id="247" w:name="_Toc61625618"/>
      <w:r>
        <w:rPr>
          <w:rFonts w:hint="eastAsia" w:ascii="Times New Roman" w:hAnsi="Times New Roman" w:cs="Times New Roman"/>
          <w:color w:val="auto"/>
        </w:rPr>
        <w:t>一、加强党的领导</w:t>
      </w:r>
      <w:bookmarkEnd w:id="244"/>
      <w:bookmarkEnd w:id="245"/>
      <w:bookmarkEnd w:id="246"/>
      <w:bookmarkEnd w:id="247"/>
    </w:p>
    <w:p>
      <w:pPr>
        <w:pStyle w:val="43"/>
        <w:ind w:firstLine="640"/>
        <w:rPr>
          <w:color w:val="auto"/>
        </w:rPr>
      </w:pPr>
      <w:r>
        <w:rPr>
          <w:rFonts w:hint="eastAsia"/>
          <w:color w:val="auto"/>
        </w:rPr>
        <w:t>以习近平新时代中国特色社会主义思想为指导，坚决贯彻落实中央、省委、市委各项决策部署，充分发挥东岳街道办事处在基层社会主义现代化建设中把握方向、谋划全局、制定政策、推进改革的领导核心作用。落实规划实施主体责任，实行规划目标责任制，鼓励基层大胆探索，为敢于担当的干部撑腰鼓劲，激励干部新时代新担当新作为。切实加强党员领导干部作风建设，加强日常管理，抓早抓小，巩固反腐败成果，推动党员干部懂规矩、讲规矩、守规矩，为经济社会发展营造良好政治生态。</w:t>
      </w:r>
    </w:p>
    <w:p>
      <w:pPr>
        <w:pStyle w:val="4"/>
        <w:adjustRightInd w:val="0"/>
        <w:snapToGrid/>
        <w:spacing w:before="0" w:beforeLines="0" w:after="0" w:afterLines="0"/>
        <w:contextualSpacing w:val="0"/>
        <w:rPr>
          <w:rFonts w:ascii="Times New Roman" w:hAnsi="Times New Roman" w:cs="Times New Roman"/>
          <w:color w:val="auto"/>
        </w:rPr>
      </w:pPr>
      <w:bookmarkStart w:id="248" w:name="_Toc12802"/>
      <w:bookmarkStart w:id="249" w:name="_Toc61338353"/>
      <w:bookmarkStart w:id="250" w:name="_Toc61625619"/>
      <w:bookmarkStart w:id="251" w:name="_Toc7320"/>
      <w:r>
        <w:rPr>
          <w:rFonts w:hint="eastAsia" w:ascii="Times New Roman" w:hAnsi="Times New Roman" w:cs="Times New Roman"/>
          <w:color w:val="auto"/>
        </w:rPr>
        <w:t>二、加强组织实施</w:t>
      </w:r>
      <w:bookmarkEnd w:id="248"/>
      <w:bookmarkEnd w:id="249"/>
      <w:bookmarkEnd w:id="250"/>
      <w:bookmarkEnd w:id="251"/>
    </w:p>
    <w:p>
      <w:pPr>
        <w:pStyle w:val="43"/>
        <w:ind w:firstLine="643"/>
        <w:rPr>
          <w:color w:val="auto"/>
        </w:rPr>
      </w:pPr>
      <w:r>
        <w:rPr>
          <w:rFonts w:hint="eastAsia"/>
          <w:b/>
          <w:bCs/>
          <w:color w:val="auto"/>
        </w:rPr>
        <w:t>实行规划目标责任制。</w:t>
      </w:r>
      <w:r>
        <w:rPr>
          <w:rFonts w:hint="eastAsia"/>
          <w:color w:val="auto"/>
        </w:rPr>
        <w:t>按照东岳路街道办事处“十四五”规划总体部署和安排，分解规划确定的发展目标、主要任务，由东岳路街道办事处</w:t>
      </w:r>
      <w:r>
        <w:rPr>
          <w:color w:val="auto"/>
          <w:kern w:val="0"/>
          <w:szCs w:val="32"/>
        </w:rPr>
        <w:t>党委</w:t>
      </w:r>
      <w:r>
        <w:rPr>
          <w:rFonts w:hint="eastAsia"/>
          <w:color w:val="auto"/>
        </w:rPr>
        <w:t>统筹协调，明确牵头单位和工作责任。认真做好年度计划，把规划提出的任务目标分解到每一个计划年度中，保持规划实施的连贯性。</w:t>
      </w:r>
    </w:p>
    <w:p>
      <w:pPr>
        <w:pStyle w:val="43"/>
        <w:ind w:firstLine="643"/>
        <w:rPr>
          <w:color w:val="auto"/>
        </w:rPr>
      </w:pPr>
      <w:r>
        <w:rPr>
          <w:rFonts w:hint="eastAsia"/>
          <w:b/>
          <w:bCs/>
          <w:color w:val="auto"/>
        </w:rPr>
        <w:t>强化评估考核及监督机制。</w:t>
      </w:r>
      <w:r>
        <w:rPr>
          <w:rFonts w:hint="eastAsia"/>
          <w:color w:val="auto"/>
        </w:rPr>
        <w:t>完善规划中期评估，加强规划实施年度监测机制，有效监测规划实施动态情况。创新评估考核方式，引入社会机构评估等第三方评估制度，扩大民意测评范围，增强规划的准确性和广泛性。推动规划实施信息互联互通和归集共享，做好风险防范和化解，建立规范的财政风险预警监控系统。</w:t>
      </w:r>
    </w:p>
    <w:p>
      <w:pPr>
        <w:pStyle w:val="4"/>
        <w:adjustRightInd w:val="0"/>
        <w:snapToGrid/>
        <w:spacing w:before="0" w:beforeLines="0" w:after="0" w:afterLines="0"/>
        <w:contextualSpacing w:val="0"/>
        <w:rPr>
          <w:rFonts w:ascii="Times New Roman" w:hAnsi="Times New Roman" w:cs="Times New Roman"/>
          <w:color w:val="auto"/>
        </w:rPr>
      </w:pPr>
      <w:bookmarkStart w:id="252" w:name="_Toc61625620"/>
      <w:bookmarkStart w:id="253" w:name="_Toc32230"/>
      <w:bookmarkStart w:id="254" w:name="_Toc61338354"/>
      <w:bookmarkStart w:id="255" w:name="_Toc32011"/>
      <w:r>
        <w:rPr>
          <w:rFonts w:hint="eastAsia" w:ascii="Times New Roman" w:hAnsi="Times New Roman" w:cs="Times New Roman"/>
          <w:color w:val="auto"/>
        </w:rPr>
        <w:t>三、加强资金保障</w:t>
      </w:r>
      <w:bookmarkEnd w:id="252"/>
      <w:bookmarkEnd w:id="253"/>
      <w:bookmarkEnd w:id="254"/>
      <w:bookmarkEnd w:id="255"/>
    </w:p>
    <w:p>
      <w:pPr>
        <w:pStyle w:val="43"/>
        <w:ind w:firstLine="640"/>
        <w:rPr>
          <w:color w:val="auto"/>
        </w:rPr>
      </w:pPr>
      <w:r>
        <w:rPr>
          <w:rFonts w:hint="eastAsia"/>
          <w:color w:val="auto"/>
        </w:rPr>
        <w:t>强化财政预算与规划实施的衔接协调，合理安排支出规模，调整优化支出结构，加强财政资金管理，优先保障纳入规划重大事项和项目的财政支出。充分发挥市场配置资源的基础性作用，始终坚持利用市场和开放的机制，大力培育和引进多元投资主体。探索和第三方市场化金融机构高效合作，引入战略性合作伙伴，争取资金支持。</w:t>
      </w:r>
    </w:p>
    <w:p>
      <w:pPr>
        <w:pStyle w:val="4"/>
        <w:adjustRightInd w:val="0"/>
        <w:snapToGrid/>
        <w:spacing w:before="0" w:beforeLines="0" w:after="0" w:afterLines="0"/>
        <w:contextualSpacing w:val="0"/>
        <w:rPr>
          <w:rFonts w:ascii="Times New Roman" w:hAnsi="Times New Roman" w:cs="Times New Roman"/>
          <w:color w:val="auto"/>
        </w:rPr>
      </w:pPr>
      <w:bookmarkStart w:id="256" w:name="_Toc61338355"/>
      <w:bookmarkStart w:id="257" w:name="_Toc12466"/>
      <w:bookmarkStart w:id="258" w:name="_Toc61625621"/>
      <w:bookmarkStart w:id="259" w:name="_Toc27834"/>
      <w:r>
        <w:rPr>
          <w:rFonts w:hint="eastAsia" w:ascii="Times New Roman" w:hAnsi="Times New Roman" w:cs="Times New Roman"/>
          <w:color w:val="auto"/>
        </w:rPr>
        <w:t>四、</w:t>
      </w:r>
      <w:bookmarkEnd w:id="256"/>
      <w:bookmarkEnd w:id="257"/>
      <w:bookmarkEnd w:id="258"/>
      <w:bookmarkEnd w:id="259"/>
      <w:r>
        <w:rPr>
          <w:rFonts w:hint="eastAsia" w:ascii="Times New Roman" w:hAnsi="Times New Roman" w:cs="Times New Roman"/>
          <w:color w:val="auto"/>
        </w:rPr>
        <w:t>加强全民参与</w:t>
      </w:r>
    </w:p>
    <w:p>
      <w:pPr>
        <w:pStyle w:val="43"/>
        <w:ind w:firstLine="640"/>
        <w:rPr>
          <w:color w:val="auto"/>
        </w:rPr>
      </w:pPr>
      <w:r>
        <w:rPr>
          <w:rFonts w:hint="eastAsia"/>
          <w:color w:val="auto"/>
        </w:rPr>
        <w:t>贯彻党的群众路线，强化经济社会发展重大问题和涉及群众切身利益问题的协商，激发群众主人翁意识，形成全社会参与的热烈氛围。进一步扩大政务公开，面向企业和公众及时披露相关政策和信息，形成全社会关心规划、参与实施和共同监督的良好氛围。发挥街道办事处社区窗口的桥梁和监督作用，健全街道办事处与企业、群众的信息沟通和反馈机制。</w:t>
      </w:r>
    </w:p>
    <w:p>
      <w:pPr>
        <w:pStyle w:val="4"/>
        <w:adjustRightInd w:val="0"/>
        <w:snapToGrid/>
        <w:spacing w:before="0" w:beforeLines="0" w:after="0" w:afterLines="0"/>
        <w:contextualSpacing w:val="0"/>
        <w:rPr>
          <w:rFonts w:ascii="Times New Roman" w:hAnsi="Times New Roman" w:cs="Times New Roman"/>
          <w:color w:val="auto"/>
        </w:rPr>
      </w:pPr>
      <w:bookmarkStart w:id="260" w:name="_Toc8069"/>
      <w:bookmarkStart w:id="261" w:name="_Toc61625622"/>
      <w:bookmarkStart w:id="262" w:name="_Toc61338356"/>
      <w:bookmarkStart w:id="263" w:name="_Toc8856"/>
      <w:r>
        <w:rPr>
          <w:rFonts w:hint="eastAsia" w:ascii="Times New Roman" w:hAnsi="Times New Roman" w:cs="Times New Roman"/>
          <w:color w:val="auto"/>
        </w:rPr>
        <w:t>五、加强项目支撑</w:t>
      </w:r>
      <w:bookmarkEnd w:id="260"/>
      <w:bookmarkEnd w:id="261"/>
      <w:bookmarkEnd w:id="262"/>
      <w:bookmarkEnd w:id="263"/>
    </w:p>
    <w:p>
      <w:pPr>
        <w:rPr>
          <w:color w:val="auto"/>
        </w:rPr>
      </w:pPr>
      <w:r>
        <w:rPr>
          <w:rFonts w:hint="eastAsia"/>
          <w:color w:val="auto"/>
        </w:rPr>
        <w:t>围绕东岳路街道办事处“十四五”时期重大项目储备库、重大政策调度库和重大改革创新举措思想库，创新举措，不断完善项目建设工作机制，加大项目督办力度，狠抓项目落实，完善重大事项、重大项目协调推进机制，及时解决重大产业项目建设、资源要素配置、招商引资和经济运行中的难点问题和各种矛盾，确保项目建设顺利进行。</w:t>
      </w:r>
      <w:r>
        <w:rPr>
          <w:color w:val="auto"/>
        </w:rPr>
        <w:br w:type="page"/>
      </w:r>
    </w:p>
    <w:p>
      <w:pPr>
        <w:ind w:firstLine="0" w:firstLineChars="0"/>
        <w:rPr>
          <w:color w:val="auto"/>
        </w:rPr>
        <w:sectPr>
          <w:footerReference r:id="rId17" w:type="default"/>
          <w:pgSz w:w="11906" w:h="16838"/>
          <w:pgMar w:top="1440" w:right="1800" w:bottom="1440" w:left="1800" w:header="851" w:footer="992" w:gutter="0"/>
          <w:pgNumType w:start="1"/>
          <w:cols w:space="425" w:num="1"/>
          <w:docGrid w:type="lines" w:linePitch="435" w:charSpace="0"/>
        </w:sectPr>
      </w:pPr>
    </w:p>
    <w:p>
      <w:pPr>
        <w:pStyle w:val="2"/>
        <w:spacing w:line="240" w:lineRule="auto"/>
        <w:ind w:firstLine="174"/>
        <w:rPr>
          <w:color w:val="auto"/>
          <w:sz w:val="28"/>
          <w:szCs w:val="28"/>
        </w:rPr>
      </w:pPr>
      <w:bookmarkStart w:id="264" w:name="_Toc57764046"/>
      <w:bookmarkStart w:id="265" w:name="_Toc1275"/>
      <w:bookmarkStart w:id="266" w:name="_Toc8913"/>
      <w:r>
        <w:rPr>
          <w:color w:val="auto"/>
          <w:sz w:val="28"/>
          <w:szCs w:val="28"/>
        </w:rPr>
        <w:t>附件：</w:t>
      </w:r>
      <w:r>
        <w:rPr>
          <w:rFonts w:hint="eastAsia"/>
          <w:color w:val="auto"/>
          <w:sz w:val="28"/>
          <w:szCs w:val="28"/>
        </w:rPr>
        <w:t>东岳路街道办事处</w:t>
      </w:r>
      <w:r>
        <w:rPr>
          <w:color w:val="auto"/>
          <w:sz w:val="28"/>
          <w:szCs w:val="28"/>
        </w:rPr>
        <w:t>国民经济和社会发展第十四个五年规划项目库</w:t>
      </w:r>
      <w:bookmarkEnd w:id="264"/>
      <w:bookmarkEnd w:id="265"/>
      <w:bookmarkEnd w:id="266"/>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87"/>
        <w:gridCol w:w="1009"/>
        <w:gridCol w:w="1296"/>
        <w:gridCol w:w="4176"/>
        <w:gridCol w:w="1153"/>
        <w:gridCol w:w="1296"/>
        <w:gridCol w:w="1153"/>
        <w:gridCol w:w="86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2"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序号</w:t>
            </w:r>
          </w:p>
        </w:tc>
        <w:tc>
          <w:tcPr>
            <w:tcW w:w="560"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项目名称</w:t>
            </w:r>
          </w:p>
        </w:tc>
        <w:tc>
          <w:tcPr>
            <w:tcW w:w="356"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建设性质</w:t>
            </w:r>
          </w:p>
        </w:tc>
        <w:tc>
          <w:tcPr>
            <w:tcW w:w="457"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项目建设地点</w:t>
            </w:r>
          </w:p>
        </w:tc>
        <w:tc>
          <w:tcPr>
            <w:tcW w:w="1473"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规模及主要建设内容</w:t>
            </w:r>
          </w:p>
        </w:tc>
        <w:tc>
          <w:tcPr>
            <w:tcW w:w="407"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项目总投资</w:t>
            </w:r>
            <w:r>
              <w:rPr>
                <w:rFonts w:eastAsia="宋体"/>
                <w:b/>
                <w:bCs/>
                <w:color w:val="auto"/>
                <w:kern w:val="0"/>
                <w:sz w:val="20"/>
                <w:szCs w:val="20"/>
              </w:rPr>
              <w:br w:type="textWrapping"/>
            </w:r>
            <w:r>
              <w:rPr>
                <w:rFonts w:eastAsia="宋体"/>
                <w:b/>
                <w:bCs/>
                <w:color w:val="auto"/>
                <w:kern w:val="0"/>
                <w:sz w:val="20"/>
                <w:szCs w:val="20"/>
              </w:rPr>
              <w:t>（万元）</w:t>
            </w:r>
          </w:p>
        </w:tc>
        <w:tc>
          <w:tcPr>
            <w:tcW w:w="457"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资金来源</w:t>
            </w:r>
          </w:p>
        </w:tc>
        <w:tc>
          <w:tcPr>
            <w:tcW w:w="407"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建设性质</w:t>
            </w:r>
          </w:p>
        </w:tc>
        <w:tc>
          <w:tcPr>
            <w:tcW w:w="304"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开工/计划开工年份</w:t>
            </w:r>
          </w:p>
        </w:tc>
        <w:tc>
          <w:tcPr>
            <w:tcW w:w="327" w:type="pct"/>
            <w:shd w:val="clear" w:color="auto" w:fill="auto"/>
            <w:vAlign w:val="center"/>
          </w:tcPr>
          <w:p>
            <w:pPr>
              <w:widowControl/>
              <w:spacing w:line="240" w:lineRule="auto"/>
              <w:ind w:firstLine="0" w:firstLineChars="0"/>
              <w:jc w:val="center"/>
              <w:rPr>
                <w:rFonts w:eastAsia="宋体"/>
                <w:b/>
                <w:bCs/>
                <w:color w:val="auto"/>
                <w:kern w:val="0"/>
                <w:sz w:val="20"/>
                <w:szCs w:val="20"/>
              </w:rPr>
            </w:pPr>
            <w:r>
              <w:rPr>
                <w:rFonts w:eastAsia="宋体"/>
                <w:b/>
                <w:bCs/>
                <w:color w:val="auto"/>
                <w:kern w:val="0"/>
                <w:sz w:val="20"/>
                <w:szCs w:val="20"/>
              </w:rPr>
              <w:t>类别（请勿删除）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合计（55个）</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3862632</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城区排水设施改造工程</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总长20公里、配套泵站4座，城区12座泵站改造升级</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城西路道路扩宽改造工程</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道路全长2.68公里，路辐宽度由26米扩宽为36米</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坑头至青龙路老旧小区改造</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老旧小区改造，13项目、26个老旧小区、改造面积42.92万平方米，将惠及4251户、1.2万人</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2022</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城西路绿城</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项目总用地面积为26890.9平方米，改造内容：1、管网改造2、供排水设施改造3、违章建筑及生活服务设施改造4、停车场所优化、绿化环境提升5、安防设施改造</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大冶市本源置业有限责任公司“思源小区”建设项目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占地面积7500平方米，总建筑面积23023平方米，提供多元化的产品以切合不同市场的需求。各类产品包括联体住宅及洋房等住宅区项目以及车位及商铺。同时亦开发及管理若干项目内的酒店，提升房地产项目的升值潜力，除此之外，同时经营独立于房地产开发的酒店。</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新开工</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宏维半岛建设项目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用地面积为19890.9平方米，总建筑面积37万方，容积率仅2.8，由处于中国设计前沿—上海设计大师领衔设计，大手笔推出宏维第三代3.0产品，拥有超32000㎡景观园林、双泳池、双儿童游乐场、双篮球场、6个羽毛球场等豪华配套，建成后将是大冶品质住宅的领袖之作。项目占地面积180亩，总建筑面积37万方，容积率仅2.8，由处于中国设计前沿—上海设计大师领衔设计，大手笔推出宏维第三代3.0产品，拥有超32000㎡景观园林、双泳池、双儿童游乐场、双篮球场、6个羽毛球场等豪华配套，建成后将是大冶品质住宅的领袖之作。</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168200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新开工</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2019</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廊桥餐饮一条街</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位于廊桥上的餐饮一条街，连接大冶湖南北两岸，优化周边路网的交通组织，对接熊家洲片区与主城区，大冶市政府启动大冶廊桥水城项目，项目落地于大冶市城南金井路一号桥至金湖大道二号桥之间的区域，该区域东西向总长3公里，南北向跨度426m。将按照国家AAAA级景区标准规划建设，主要建设内容有有南北走向双向四车道宽24米的主桥，在主桥两侧各自修建文化廊桥。</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2024</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禧来轩酒店</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投资5500万元，建设一个大型商务酒店，位于大冶市东风路7号，地处核心商务中心，交通便利，禧来轩酒店建筑总面积33000㎡，设有总统套房、行政套房、高级房、标准房共计288间/套。拥有350㎡的大型多功能会议中心2个，各种中小会议室共14个；以湘、川、粤美食为主的品珍中餐厅，拥有17个精致典雅风格迥异的餐厅包间；一间全日制美食汇西餐厅；桑拿中心、健身中心、足浴中心、美容美发中心、棋牌娱乐中心等，是从事商务、政务接待、旅游度假和休闲娱乐的理想场所。</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5500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大冶市尚一特连锁酒店</w:t>
            </w:r>
            <w:r>
              <w:rPr>
                <w:rFonts w:eastAsia="宋体"/>
                <w:color w:val="auto"/>
                <w:kern w:val="0"/>
                <w:sz w:val="20"/>
                <w:szCs w:val="20"/>
              </w:rPr>
              <w:br w:type="textWrapping"/>
            </w:r>
            <w:r>
              <w:rPr>
                <w:rFonts w:eastAsia="宋体"/>
                <w:color w:val="auto"/>
                <w:kern w:val="0"/>
                <w:sz w:val="20"/>
                <w:szCs w:val="20"/>
              </w:rPr>
              <w:t>华丰店</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投资5千万元，建设一个大型商务酒店，尚一特连锁大酒店华丰店是一家高档商务酒店，酒店地处大冶市七里界路16号，位于大冶市中心地段，与大冶最大的建材市场欧倍莎相临，距火车站4.6公里。酒店装修时尚高雅，设施齐全，环境舒适。拥有跃层商务客房，酒店还配有豪华餐饮包厢、中西自助餐厅、会议厅、商务中心、精品屋、美容美发和足浴中心等，服务配套与娱乐设施一应俱全。</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恒大养生谷</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项目占地面积500亩，计划投资一所集养生、房产为一体的养生机构，养生谷项目拟需建设用地面积为 800 亩至 1500 亩，投资强度达50 亿-100 亿，恒大贯彻产业先行的理念，产业业态将根据政府供地计划在项目首期与配套同步建设。养生谷项目选址位于城市主城区规划发展方向上的周边区域，距主城区车程不宜超过二十分钟，以便于发挥项目本身产业优势，提升城市周边区域健康康养功能。</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楚城项目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该项目由荣信置业（湖北）有限公司投资建设，选址位于大冶北站对面，规划用地300亩。项目主要投资兴建楚城文旅项目、江南明珠五星级酒店项目及综合地产开发项目。</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2022</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560" w:type="pct"/>
            <w:shd w:val="clear" w:color="000000" w:fill="FFFFFF"/>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大冶兰园建设项目</w:t>
            </w:r>
          </w:p>
        </w:tc>
        <w:tc>
          <w:tcPr>
            <w:tcW w:w="356" w:type="pct"/>
            <w:shd w:val="clear" w:color="000000" w:fill="FFFFFF"/>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000000" w:fill="FFFFFF"/>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项目占地面积9500平方米，总建筑面积27023平方米，位于大冶城西路17号，属房屋地产销售业。</w:t>
            </w:r>
          </w:p>
        </w:tc>
        <w:tc>
          <w:tcPr>
            <w:tcW w:w="407" w:type="pct"/>
            <w:shd w:val="clear" w:color="000000" w:fill="FFFFFF"/>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000000" w:fill="FFFFFF"/>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000000" w:fill="FFFFFF"/>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城东北片区商业综合体</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用地面积为46890.9平方米，位于城东北北高铁大道旁，是集购物、餐饮、休闲、娱乐、健身等功能业态于一体的大型都市型购物中心。购物中心总建筑面积70000平方米，一二楼为大润发品牌超市，男女服装、钟表、鞋帽、手机、肯德基、大型儿童主体乐园等集合店。三楼整层为各种风味餐饮店、大型电玩游乐城。四楼集聚教育培训、健身房等。五楼为华夏星光影城。该购物中心的开业为乐平市的商贸服务业填补了空白，为市民创造了良好的购物环境，并解决2000余人就业。</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2024</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252" w:type="pct"/>
            <w:shd w:val="clear" w:color="auto" w:fill="auto"/>
            <w:noWrap/>
            <w:vAlign w:val="bottom"/>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w:t>
            </w:r>
            <w:r>
              <w:rPr>
                <w:rFonts w:eastAsia="宋体"/>
                <w:color w:val="auto"/>
                <w:kern w:val="0"/>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48640" cy="6096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5790" cy="57150"/>
                          </a:xfrm>
                          <a:prstGeom prst="rect">
                            <a:avLst/>
                          </a:prstGeom>
                          <a:noFill/>
                          <a:ln>
                            <a:noFill/>
                          </a:ln>
                        </pic:spPr>
                      </pic:pic>
                    </a:graphicData>
                  </a:graphic>
                </wp:anchor>
              </w:drawing>
            </w:r>
            <w:r>
              <w:rPr>
                <w:rFonts w:eastAsia="宋体"/>
                <w:color w:val="auto"/>
                <w:kern w:val="0"/>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48640" cy="6096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5790" cy="57150"/>
                          </a:xfrm>
                          <a:prstGeom prst="rect">
                            <a:avLst/>
                          </a:prstGeom>
                          <a:noFill/>
                          <a:ln>
                            <a:noFill/>
                          </a:ln>
                        </pic:spPr>
                      </pic:pic>
                    </a:graphicData>
                  </a:graphic>
                </wp:anchor>
              </w:drawing>
            </w:r>
            <w:r>
              <w:rPr>
                <w:rFonts w:eastAsia="宋体"/>
                <w:color w:val="auto"/>
                <w:kern w:val="0"/>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548640" cy="6096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5790" cy="57150"/>
                          </a:xfrm>
                          <a:prstGeom prst="rect">
                            <a:avLst/>
                          </a:prstGeom>
                          <a:noFill/>
                          <a:ln>
                            <a:noFill/>
                          </a:ln>
                        </pic:spPr>
                      </pic:pic>
                    </a:graphicData>
                  </a:graphic>
                </wp:anchor>
              </w:drawing>
            </w:r>
            <w:r>
              <w:rPr>
                <w:rFonts w:eastAsia="宋体"/>
                <w:color w:val="auto"/>
                <w:kern w:val="0"/>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15240</wp:posOffset>
                  </wp:positionV>
                  <wp:extent cx="548640" cy="6096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5790" cy="57150"/>
                          </a:xfrm>
                          <a:prstGeom prst="rect">
                            <a:avLst/>
                          </a:prstGeom>
                          <a:noFill/>
                          <a:ln>
                            <a:noFill/>
                          </a:ln>
                        </pic:spPr>
                      </pic:pic>
                    </a:graphicData>
                  </a:graphic>
                </wp:anchor>
              </w:drawing>
            </w:r>
            <w:r>
              <w:rPr>
                <w:rFonts w:eastAsia="宋体"/>
                <w:color w:val="auto"/>
                <w:kern w:val="0"/>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15240</wp:posOffset>
                  </wp:positionV>
                  <wp:extent cx="624840" cy="6096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87705" cy="57150"/>
                          </a:xfrm>
                          <a:prstGeom prst="rect">
                            <a:avLst/>
                          </a:prstGeom>
                          <a:noFill/>
                          <a:ln>
                            <a:noFill/>
                          </a:ln>
                        </pic:spPr>
                      </pic:pic>
                    </a:graphicData>
                  </a:graphic>
                </wp:anchor>
              </w:drawing>
            </w:r>
            <w:r>
              <w:rPr>
                <w:rFonts w:eastAsia="宋体"/>
                <w:color w:val="auto"/>
                <w:kern w:val="0"/>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15240</wp:posOffset>
                  </wp:positionV>
                  <wp:extent cx="624840" cy="6096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87705" cy="57150"/>
                          </a:xfrm>
                          <a:prstGeom prst="rect">
                            <a:avLst/>
                          </a:prstGeom>
                          <a:noFill/>
                          <a:ln>
                            <a:noFill/>
                          </a:ln>
                        </pic:spPr>
                      </pic:pic>
                    </a:graphicData>
                  </a:graphic>
                </wp:anchor>
              </w:drawing>
            </w:r>
            <w:r>
              <w:rPr>
                <w:rFonts w:eastAsia="宋体"/>
                <w:color w:val="auto"/>
                <w:kern w:val="0"/>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15240</wp:posOffset>
                  </wp:positionV>
                  <wp:extent cx="624840" cy="685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87705" cy="66675"/>
                          </a:xfrm>
                          <a:prstGeom prst="rect">
                            <a:avLst/>
                          </a:prstGeom>
                          <a:noFill/>
                          <a:ln>
                            <a:noFill/>
                          </a:ln>
                        </pic:spPr>
                      </pic:pic>
                    </a:graphicData>
                  </a:graphic>
                </wp:anchor>
              </w:drawing>
            </w:r>
          </w:p>
          <w:tbl>
            <w:tblPr>
              <w:tblStyle w:val="17"/>
              <w:tblW w:w="0" w:type="auto"/>
              <w:tblCellSpacing w:w="0" w:type="dxa"/>
              <w:tblInd w:w="0" w:type="dxa"/>
              <w:tblLayout w:type="fixed"/>
              <w:tblCellMar>
                <w:top w:w="0" w:type="dxa"/>
                <w:left w:w="0" w:type="dxa"/>
                <w:bottom w:w="0" w:type="dxa"/>
                <w:right w:w="0" w:type="dxa"/>
              </w:tblCellMar>
            </w:tblPr>
            <w:tblGrid>
              <w:gridCol w:w="820"/>
            </w:tblGrid>
            <w:tr>
              <w:tblPrEx>
                <w:tblCellMar>
                  <w:top w:w="0" w:type="dxa"/>
                  <w:left w:w="0" w:type="dxa"/>
                  <w:bottom w:w="0" w:type="dxa"/>
                  <w:right w:w="0" w:type="dxa"/>
                </w:tblCellMar>
              </w:tblPrEx>
              <w:trPr>
                <w:trHeight w:val="741" w:hRule="atLeast"/>
                <w:tblCellSpacing w:w="0" w:type="dxa"/>
              </w:trPr>
              <w:tc>
                <w:tcPr>
                  <w:tcW w:w="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eastAsia="宋体"/>
                      <w:color w:val="auto"/>
                      <w:kern w:val="0"/>
                      <w:sz w:val="20"/>
                      <w:szCs w:val="20"/>
                    </w:rPr>
                  </w:pPr>
                </w:p>
              </w:tc>
            </w:tr>
          </w:tbl>
          <w:p>
            <w:pPr>
              <w:widowControl/>
              <w:spacing w:line="240" w:lineRule="auto"/>
              <w:ind w:firstLine="0" w:firstLineChars="0"/>
              <w:jc w:val="center"/>
              <w:rPr>
                <w:rFonts w:eastAsia="等线"/>
                <w:color w:val="auto"/>
                <w:kern w:val="0"/>
                <w:sz w:val="22"/>
                <w:szCs w:val="22"/>
              </w:rPr>
            </w:pP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芳香城市综合体</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建设用地200亩，项目分两个地块，两个地块捆绑摘牌，两个地块约200亩，新建房地产开发项目1个和商业综合体1个。作为城市形象的展示面，以芳香为主题，营造以城市展厅为中心的复合商业地产功能，满足周边旅游和对外展示以及居住要求。</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麦当劳餐饮连锁店国贸店</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新建完工</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国贸新天地购物广场一楼，餐饮外卖一条龙，占地2666平方米，是大冶首家麦当劳直营店。</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新开工</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糖果树KTV一品店</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项目用地4000平方米，拆除重建综合楼4000㎡、新建学生食堂4800㎡、教学楼改造6000㎡、运动场改造7000㎡及校园文化绿化、排水等。</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6200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新开工</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大冶城关城市防洪封闭圈</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大冶湖1号桥至三里七段，堤防防洪标准未达到城市防洪标准，堤防欠高，部分欠宽大冶城关城市防洪圈未闭合，存在薄弱短板环节。计划新建防洪墙1.5km。</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交通和港口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阳新军垦农场</w:t>
            </w:r>
            <w:r>
              <w:rPr>
                <w:rFonts w:eastAsia="宋体"/>
                <w:color w:val="auto"/>
                <w:kern w:val="0"/>
                <w:sz w:val="20"/>
                <w:szCs w:val="20"/>
              </w:rPr>
              <w:br w:type="textWrapping"/>
            </w:r>
            <w:r>
              <w:rPr>
                <w:rFonts w:eastAsia="宋体"/>
                <w:color w:val="auto"/>
                <w:kern w:val="0"/>
                <w:sz w:val="20"/>
                <w:szCs w:val="20"/>
              </w:rPr>
              <w:t>至大冶梅咀公路改扩建</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全长78.943公里，该项目作为阳新军垦农场至大冶梅嘴公路的重要一段，建成后，将进一步完善全市路网结构，有效分流并缓解106国道交通压力，特别是大冶城区及下陆、铁山两区的交通拥挤状况，同时，减少过境车辆对大冶城区交通的干扰、降低城区路段交通安全隐患，并对推进区域经济社会发展具有重要意义。</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88313</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交通和港口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马四线改建工程</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马四线（矿冶大道至铜绿山大道）改建工程、环父子山绿道（大冶段）道路建设工程、城乡中心客运站建设工程、马叫至姜桥公路大修工程、机动车性能综合检测中心建设工程等。</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15551</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交通和港口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大冶市下曹大道</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起点位于大冶市大箕铺镇三角桥街与金井路相交的路口，与金井路相交，终点位于大冶市与阳新县大王镇交界的凤凰村。道路全长5.486km，总体走向由西向东。全线采用一级公路兼城市道路标准，设计速度采用60km/h，路基宽度36.00m，双向四车道；路面结构为沥青混泥土。</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26211</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交通和港口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大冶市武黄城际铁路大冶北站至咸黄高速大箕铺互通公路一级公路</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7.5公里一级公路</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 xml:space="preserve">77105 </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2024</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交通和港口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恒达欢乐大世界二期</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用地面积179153平方米，将建成水上乐园和动物园。</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6260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文化和旅游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23</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大冶市妇幼保健院整体搬迁项目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项目总用地面积39892.46 平方米，总建筑面积70800 平方米（其中计容面积为 60300 平方米，不计容面积为 10500平方米）</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大冶市中医院中医传染病综合大楼建设项目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项目建设面积18000㎡，新建一栋13层中医传染病综合大楼</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大冶市中医院医技康复楼</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总建筑面积16449.44平方米,总楼层14层(含地下室一层)</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26</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大冶市城东北小学建设工程</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项目占地面积50亩，建筑面积2万平方米左右。</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27</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大冶市城东北中学建设工程</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项目占地面积50亩，建筑面积2万平方米左右。</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28</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大冶市第一中学校园改造</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项目占地面积8500平方米，总建筑面积43023平方米</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29</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大冶市新档案馆</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建筑面积7153平方米</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5582</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英博幼儿园</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占地面积5332.4平方米，总建筑面积6286㎡，总投资1亿元。内设有12个标准大教室（每个教室160㎡）、恒温游泳馆、体育活动馆、音乐舞蹈室，手工艺术室、茶艺制作室、图书阅览室、科学展示室、营养配餐室、琴房等功能室。室外有植物园、动物园、运动场、斑马线、滑梯等一应俱全。</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新开工</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31</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大冶市尹家湖公立幼儿园</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项目总用地面积为18790.9平方米，总用地面积2.46万平方米，设置三个园区，主要有3栋三层教学楼、一栋4层综合楼、学生食堂、运动场等，总建筑面积2.16万平方米。</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10000</w:t>
            </w:r>
          </w:p>
        </w:tc>
        <w:tc>
          <w:tcPr>
            <w:tcW w:w="45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劲牌投资</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32</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大冶市第三人民医院业务综合楼建设项目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另选址迁建，占地30亩，建筑面积15000㎡.</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2022</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33</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特殊教育学前教育康复综合楼、职业教育实训楼</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用地10亩，建设康复综合楼、职业教育实训楼</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2022</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34</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大冶市新街小学校园改造项目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运动场改造、内外墙翻新、屋面防水、电路改造及校园文化绿化建设等</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35</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大冶市实验中学校园改造项目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拆除重建综合楼4000㎡、新建学生食堂4800㎡、教学楼改造6000㎡、运动场改造7000㎡及校园文化绿化、排水等。</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36</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大冶市机关幼儿园改造项目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新建连廊、教学楼内外墙翻新、运动场改造及教玩具配置等。</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37</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大冶市第二实验中学建设项目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新建运动场看台560㎡、足球场改造10000㎡、教学楼外墙翻新、食堂加层及校园绿化等</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2022</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38</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大冶师范附属小学</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1、新建综合楼700㎡（一层300运动场所，二三层功能室400）2、教学楼、办公楼装修装饰工程及校园文化建设。3、校内水泥地面刷黑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2021</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39</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大冶市实验小学校园改造维修项目</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新建学生厕所220㎡、新建学生食堂600㎡、教学楼维修及校园文化绿化等。</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美年大健康</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总用地面积为16890.9平方米，大冶美年大健康体检管理有限公司是是经市卫生部门许可，以健康体检为主营、以健康管理为目标的一家专业体检医疗机构。作为大健康科技管理有限公司15年进驻美丽富饶的矿冶之城铜都大冶的第一家旗舰店，体检中心地处城区核心区域，它集优雅的体检环境，一流的医师团队，尖端的检测设备，人性化的服务流程和科学的管理体系于一体。</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企业自有资金</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新开工</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2022</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41</w:t>
            </w:r>
          </w:p>
        </w:tc>
        <w:tc>
          <w:tcPr>
            <w:tcW w:w="560"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城西路小学</w:t>
            </w:r>
          </w:p>
        </w:tc>
        <w:tc>
          <w:tcPr>
            <w:tcW w:w="356"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项目占地面积40亩，建筑面积5万平方米左右。小学目前规划建设可容纳近1600名在校生，教学楼共计4层，其中一层部分架空作为专用室外活动空间，校区总面积约10610㎡，配有一个约200米跑道，一个足球场、两个篮球场、四个排球场等。</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2024</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42</w:t>
            </w:r>
          </w:p>
        </w:tc>
        <w:tc>
          <w:tcPr>
            <w:tcW w:w="560" w:type="pct"/>
            <w:shd w:val="clear" w:color="auto" w:fill="auto"/>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尹家湖社区卫生服务中心建设项目</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建筑面积3360平方米，地上三层。</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2500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43</w:t>
            </w:r>
          </w:p>
        </w:tc>
        <w:tc>
          <w:tcPr>
            <w:tcW w:w="560" w:type="pct"/>
            <w:shd w:val="clear" w:color="auto" w:fill="auto"/>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大冶湖泵站一站更新改造工程</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扩建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大冶湖泵站进行扩建，新建拦污栅桥、泵站、进出水流道、真空破坏阀闸及出口防洪闸，拦污栅桥拦污栅、进口检修闸门、出口防洪闸门及油、气、水系统辅助设备等。</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9800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2021</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44</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尹家湖水源地建设</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尹家湖水体环境综合治理项目主要建设内容包括湖底清淤、堤岸建设、绿化防护、水利工程建设、防洪通道建设、截污管网建设等。</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2022</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45</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大冶老城区电网改造</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新建10伏线路1条12公里：改造10千伏线4条50公里：改造配变台区21台；改造0.4伏线路70公里。</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11460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2020</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46</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大冶老城区电网改造</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新建10伏线路1条12公里：改造10千伏线4条50公里：改造配变台区22台；改造0.4伏线路70公里。</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11320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2021</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47</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大冶老城区电网改造</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新建10伏线路2条26公里：改造10千伏线4条50公里：改造配变台区22台；改造0.4伏线路71公里。</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12920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2022</w:t>
            </w:r>
          </w:p>
        </w:tc>
        <w:tc>
          <w:tcPr>
            <w:tcW w:w="327" w:type="pct"/>
            <w:shd w:val="clear" w:color="auto" w:fill="auto"/>
            <w:noWrap/>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社会和民生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48</w:t>
            </w:r>
          </w:p>
        </w:tc>
        <w:tc>
          <w:tcPr>
            <w:tcW w:w="560" w:type="pct"/>
            <w:shd w:val="clear" w:color="auto" w:fill="auto"/>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大冶市第二批老旧小区基础设施改造项目</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改扩造</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拟对电厂小区宿舍楼、中药材、日杂、国药住宅区、烟草宿舍、农机学校、拖车厂住宅小区、煤炭、冶金、物资回收、医药、土产小区、莲花巷9号、自来水家属区、电影公司、一条龙、种子公司小区等16个小区进行改造升级，共涉及改造户数1240户。</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7225</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49</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城西片区原化肥厂地块棚改</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征地面积400亩，建筑面积约100万平方米（一期项目建筑总面积约26.8万平方米）。</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200000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560" w:type="pct"/>
            <w:shd w:val="clear" w:color="auto" w:fill="auto"/>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大冶市第二批老旧小区基础设施改造项目</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拟对电厂小区宿舍楼、中药材等17个小区进行改造升级，共涉及改造户1538户，改造小区外的相关道路15220.454米，包括路面修复、刷黑以及与道路相关的通信、供电、供排水管网、绿化、照明、雨水口、公共标识等配套附属设施。</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10049</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2021</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51</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保康片区老旧小区改造</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after="240" w:line="240" w:lineRule="auto"/>
              <w:ind w:firstLine="0" w:firstLineChars="0"/>
              <w:jc w:val="left"/>
              <w:rPr>
                <w:rFonts w:eastAsia="宋体"/>
                <w:color w:val="auto"/>
                <w:kern w:val="0"/>
                <w:sz w:val="22"/>
                <w:szCs w:val="22"/>
              </w:rPr>
            </w:pPr>
            <w:r>
              <w:rPr>
                <w:rFonts w:eastAsia="宋体"/>
                <w:color w:val="auto"/>
                <w:kern w:val="0"/>
                <w:sz w:val="22"/>
                <w:szCs w:val="22"/>
              </w:rPr>
              <w:t>保康片区、车站片区、桥虹片区、和平片区、胜利片区、武备片区、安平社区、湖滨社区、民主社区、荟萃社区13个小区进行排水管网、供电通信杆线、小游园、停车场设施改造。</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750174</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2022</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52</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尹家湖东路管道对接工程</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新建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noWrap/>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建设尹家湖公园给排水、泵站、消防栓等基础配套设施</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1000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53</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尹家湖水生态保护与修复工程</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改建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line="240" w:lineRule="auto"/>
              <w:ind w:firstLine="0" w:firstLineChars="0"/>
              <w:jc w:val="left"/>
              <w:rPr>
                <w:rFonts w:eastAsia="宋体"/>
                <w:color w:val="auto"/>
                <w:kern w:val="0"/>
                <w:sz w:val="22"/>
                <w:szCs w:val="22"/>
              </w:rPr>
            </w:pPr>
            <w:r>
              <w:rPr>
                <w:rFonts w:eastAsia="宋体"/>
                <w:color w:val="auto"/>
                <w:kern w:val="0"/>
                <w:sz w:val="22"/>
                <w:szCs w:val="22"/>
              </w:rPr>
              <w:t>截污、水生植物恢复、生态渔业工程、环保绞吸船清淤、污泥运输、污泥脱水、污泥经无害化处理后填埋、铺设截污管网、建设提升泵站，收集周围居民生活污水。</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7063</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52"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54</w:t>
            </w:r>
          </w:p>
        </w:tc>
        <w:tc>
          <w:tcPr>
            <w:tcW w:w="560"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红星湖水环境综合整治</w:t>
            </w:r>
          </w:p>
        </w:tc>
        <w:tc>
          <w:tcPr>
            <w:tcW w:w="356"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续建</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东岳路街办</w:t>
            </w:r>
          </w:p>
        </w:tc>
        <w:tc>
          <w:tcPr>
            <w:tcW w:w="1473" w:type="pct"/>
            <w:shd w:val="clear" w:color="auto" w:fill="auto"/>
            <w:vAlign w:val="center"/>
          </w:tcPr>
          <w:p>
            <w:pPr>
              <w:widowControl/>
              <w:spacing w:after="240" w:line="240" w:lineRule="auto"/>
              <w:ind w:firstLine="0" w:firstLineChars="0"/>
              <w:jc w:val="left"/>
              <w:rPr>
                <w:rFonts w:eastAsia="宋体"/>
                <w:color w:val="auto"/>
                <w:kern w:val="0"/>
                <w:sz w:val="22"/>
                <w:szCs w:val="22"/>
              </w:rPr>
            </w:pPr>
            <w:r>
              <w:rPr>
                <w:rFonts w:eastAsia="宋体"/>
                <w:color w:val="auto"/>
                <w:kern w:val="0"/>
                <w:sz w:val="22"/>
                <w:szCs w:val="22"/>
              </w:rPr>
              <w:t>红星湖水环境综合治理项目建设内容主要包括红星湖水污分流改造工程，红星湖截污管网建设工程、底泥环保疏浚和淤泥无害化处理工程、水系连通与水动力优化工程，红星湖生态浮床建设工程和生态复氧工程。</w:t>
            </w:r>
          </w:p>
        </w:tc>
        <w:tc>
          <w:tcPr>
            <w:tcW w:w="407"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15000</w:t>
            </w:r>
          </w:p>
        </w:tc>
        <w:tc>
          <w:tcPr>
            <w:tcW w:w="45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政府资金</w:t>
            </w:r>
          </w:p>
        </w:tc>
        <w:tc>
          <w:tcPr>
            <w:tcW w:w="40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前期推进</w:t>
            </w:r>
          </w:p>
        </w:tc>
        <w:tc>
          <w:tcPr>
            <w:tcW w:w="304" w:type="pct"/>
            <w:shd w:val="clear" w:color="auto" w:fill="auto"/>
            <w:noWrap/>
            <w:vAlign w:val="center"/>
          </w:tcPr>
          <w:p>
            <w:pPr>
              <w:widowControl/>
              <w:spacing w:line="240" w:lineRule="auto"/>
              <w:ind w:firstLine="0" w:firstLineChars="0"/>
              <w:jc w:val="center"/>
              <w:rPr>
                <w:rFonts w:eastAsia="宋体"/>
                <w:color w:val="auto"/>
                <w:kern w:val="0"/>
                <w:sz w:val="22"/>
                <w:szCs w:val="22"/>
              </w:rPr>
            </w:pPr>
            <w:r>
              <w:rPr>
                <w:rFonts w:eastAsia="宋体"/>
                <w:color w:val="auto"/>
                <w:kern w:val="0"/>
                <w:sz w:val="22"/>
                <w:szCs w:val="22"/>
              </w:rPr>
              <w:t>2020</w:t>
            </w:r>
          </w:p>
        </w:tc>
        <w:tc>
          <w:tcPr>
            <w:tcW w:w="327" w:type="pct"/>
            <w:shd w:val="clear" w:color="auto" w:fill="auto"/>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城建和环保</w:t>
            </w:r>
          </w:p>
        </w:tc>
      </w:tr>
    </w:tbl>
    <w:p>
      <w:pPr>
        <w:rPr>
          <w:color w:val="auto"/>
        </w:rPr>
      </w:pPr>
    </w:p>
    <w:sectPr>
      <w:footerReference r:id="rId18" w:type="default"/>
      <w:pgSz w:w="16838" w:h="11906" w:orient="landscape"/>
      <w:pgMar w:top="1797" w:right="1440" w:bottom="1797" w:left="1440" w:header="851" w:footer="992" w:gutter="0"/>
      <w:pgNumType w:start="5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094158"/>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2438"/>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4924"/>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640"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782B1"/>
    <w:multiLevelType w:val="singleLevel"/>
    <w:tmpl w:val="DAA782B1"/>
    <w:lvl w:ilvl="0" w:tentative="0">
      <w:start w:val="5"/>
      <w:numFmt w:val="chineseCounting"/>
      <w:suff w:val="space"/>
      <w:lvlText w:val="第%1章"/>
      <w:lvlJc w:val="left"/>
      <w:rPr>
        <w:rFonts w:hint="eastAsia"/>
      </w:rPr>
    </w:lvl>
  </w:abstractNum>
  <w:abstractNum w:abstractNumId="1">
    <w:nsid w:val="3FAD1142"/>
    <w:multiLevelType w:val="multilevel"/>
    <w:tmpl w:val="3FAD1142"/>
    <w:lvl w:ilvl="0" w:tentative="0">
      <w:start w:val="1"/>
      <w:numFmt w:val="japaneseCounting"/>
      <w:lvlText w:val="第%1节"/>
      <w:lvlJc w:val="left"/>
      <w:pPr>
        <w:ind w:left="1498" w:hanging="1260"/>
      </w:pPr>
      <w:rPr>
        <w:rFonts w:hint="default"/>
        <w:lang w:val="en-US"/>
      </w:rPr>
    </w:lvl>
    <w:lvl w:ilvl="1" w:tentative="0">
      <w:start w:val="1"/>
      <w:numFmt w:val="lowerLetter"/>
      <w:lvlText w:val="%2)"/>
      <w:lvlJc w:val="left"/>
      <w:pPr>
        <w:ind w:left="1078" w:hanging="420"/>
      </w:pPr>
    </w:lvl>
    <w:lvl w:ilvl="2" w:tentative="0">
      <w:start w:val="1"/>
      <w:numFmt w:val="lowerRoman"/>
      <w:lvlText w:val="%3."/>
      <w:lvlJc w:val="right"/>
      <w:pPr>
        <w:ind w:left="1498" w:hanging="420"/>
      </w:pPr>
    </w:lvl>
    <w:lvl w:ilvl="3" w:tentative="0">
      <w:start w:val="1"/>
      <w:numFmt w:val="decimal"/>
      <w:lvlText w:val="%4."/>
      <w:lvlJc w:val="left"/>
      <w:pPr>
        <w:ind w:left="1918" w:hanging="420"/>
      </w:pPr>
    </w:lvl>
    <w:lvl w:ilvl="4" w:tentative="0">
      <w:start w:val="1"/>
      <w:numFmt w:val="lowerLetter"/>
      <w:lvlText w:val="%5)"/>
      <w:lvlJc w:val="left"/>
      <w:pPr>
        <w:ind w:left="2338" w:hanging="420"/>
      </w:pPr>
    </w:lvl>
    <w:lvl w:ilvl="5" w:tentative="0">
      <w:start w:val="1"/>
      <w:numFmt w:val="lowerRoman"/>
      <w:lvlText w:val="%6."/>
      <w:lvlJc w:val="right"/>
      <w:pPr>
        <w:ind w:left="2758" w:hanging="420"/>
      </w:pPr>
    </w:lvl>
    <w:lvl w:ilvl="6" w:tentative="0">
      <w:start w:val="1"/>
      <w:numFmt w:val="decimal"/>
      <w:lvlText w:val="%7."/>
      <w:lvlJc w:val="left"/>
      <w:pPr>
        <w:ind w:left="3178" w:hanging="420"/>
      </w:pPr>
    </w:lvl>
    <w:lvl w:ilvl="7" w:tentative="0">
      <w:start w:val="1"/>
      <w:numFmt w:val="lowerLetter"/>
      <w:lvlText w:val="%8)"/>
      <w:lvlJc w:val="left"/>
      <w:pPr>
        <w:ind w:left="3598" w:hanging="420"/>
      </w:pPr>
    </w:lvl>
    <w:lvl w:ilvl="8" w:tentative="0">
      <w:start w:val="1"/>
      <w:numFmt w:val="lowerRoman"/>
      <w:lvlText w:val="%9."/>
      <w:lvlJc w:val="right"/>
      <w:pPr>
        <w:ind w:left="4018" w:hanging="420"/>
      </w:pPr>
    </w:lvl>
  </w:abstractNum>
  <w:abstractNum w:abstractNumId="2">
    <w:nsid w:val="55695AC1"/>
    <w:multiLevelType w:val="multilevel"/>
    <w:tmpl w:val="55695AC1"/>
    <w:lvl w:ilvl="0" w:tentative="0">
      <w:start w:val="1"/>
      <w:numFmt w:val="japaneseCounting"/>
      <w:lvlText w:val="第%1节"/>
      <w:lvlJc w:val="left"/>
      <w:pPr>
        <w:ind w:left="1621" w:hanging="126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NDgxMWM5ZGQzNjM3M2JiMjdjOWM5NTM0ZGZhM2QifQ=="/>
  </w:docVars>
  <w:rsids>
    <w:rsidRoot w:val="00401F6F"/>
    <w:rsid w:val="00000551"/>
    <w:rsid w:val="000005CD"/>
    <w:rsid w:val="00000E17"/>
    <w:rsid w:val="00002330"/>
    <w:rsid w:val="000057C9"/>
    <w:rsid w:val="0001022E"/>
    <w:rsid w:val="00011397"/>
    <w:rsid w:val="0001238A"/>
    <w:rsid w:val="00012522"/>
    <w:rsid w:val="0001253B"/>
    <w:rsid w:val="00012FF1"/>
    <w:rsid w:val="000130B0"/>
    <w:rsid w:val="000144E9"/>
    <w:rsid w:val="00014C03"/>
    <w:rsid w:val="00015F69"/>
    <w:rsid w:val="000166B5"/>
    <w:rsid w:val="0002126A"/>
    <w:rsid w:val="00021745"/>
    <w:rsid w:val="00021E77"/>
    <w:rsid w:val="00022388"/>
    <w:rsid w:val="00023106"/>
    <w:rsid w:val="00023D26"/>
    <w:rsid w:val="0002453B"/>
    <w:rsid w:val="00025074"/>
    <w:rsid w:val="00025597"/>
    <w:rsid w:val="0002571C"/>
    <w:rsid w:val="00025951"/>
    <w:rsid w:val="000277F5"/>
    <w:rsid w:val="00027FAB"/>
    <w:rsid w:val="0003459C"/>
    <w:rsid w:val="000345E8"/>
    <w:rsid w:val="00034AEE"/>
    <w:rsid w:val="00035B72"/>
    <w:rsid w:val="000366FF"/>
    <w:rsid w:val="00037737"/>
    <w:rsid w:val="000378E1"/>
    <w:rsid w:val="00040D3A"/>
    <w:rsid w:val="00045D02"/>
    <w:rsid w:val="0004605D"/>
    <w:rsid w:val="00047A79"/>
    <w:rsid w:val="00053353"/>
    <w:rsid w:val="000544B7"/>
    <w:rsid w:val="000549EA"/>
    <w:rsid w:val="00057C77"/>
    <w:rsid w:val="00060496"/>
    <w:rsid w:val="000647E0"/>
    <w:rsid w:val="00064810"/>
    <w:rsid w:val="000660CC"/>
    <w:rsid w:val="00066421"/>
    <w:rsid w:val="00066470"/>
    <w:rsid w:val="00073153"/>
    <w:rsid w:val="00073ADA"/>
    <w:rsid w:val="000746C3"/>
    <w:rsid w:val="00074C72"/>
    <w:rsid w:val="00077A85"/>
    <w:rsid w:val="000824D0"/>
    <w:rsid w:val="000835A0"/>
    <w:rsid w:val="00083826"/>
    <w:rsid w:val="0008457A"/>
    <w:rsid w:val="00084893"/>
    <w:rsid w:val="0008533F"/>
    <w:rsid w:val="00085EB2"/>
    <w:rsid w:val="000875D3"/>
    <w:rsid w:val="00087AB4"/>
    <w:rsid w:val="000901FE"/>
    <w:rsid w:val="000904E9"/>
    <w:rsid w:val="00090604"/>
    <w:rsid w:val="000924C5"/>
    <w:rsid w:val="000930A5"/>
    <w:rsid w:val="00094984"/>
    <w:rsid w:val="000A030E"/>
    <w:rsid w:val="000A09F6"/>
    <w:rsid w:val="000A18B2"/>
    <w:rsid w:val="000A1980"/>
    <w:rsid w:val="000A1B80"/>
    <w:rsid w:val="000A27FF"/>
    <w:rsid w:val="000A2D8E"/>
    <w:rsid w:val="000A490B"/>
    <w:rsid w:val="000A506A"/>
    <w:rsid w:val="000A6A3C"/>
    <w:rsid w:val="000A6F65"/>
    <w:rsid w:val="000A703A"/>
    <w:rsid w:val="000A7205"/>
    <w:rsid w:val="000B10AD"/>
    <w:rsid w:val="000B192D"/>
    <w:rsid w:val="000B1AA7"/>
    <w:rsid w:val="000B6527"/>
    <w:rsid w:val="000B6858"/>
    <w:rsid w:val="000B6A22"/>
    <w:rsid w:val="000B711C"/>
    <w:rsid w:val="000B7678"/>
    <w:rsid w:val="000B7766"/>
    <w:rsid w:val="000C0004"/>
    <w:rsid w:val="000C161A"/>
    <w:rsid w:val="000C1B89"/>
    <w:rsid w:val="000C25AA"/>
    <w:rsid w:val="000D1776"/>
    <w:rsid w:val="000D5297"/>
    <w:rsid w:val="000D63FD"/>
    <w:rsid w:val="000D64AC"/>
    <w:rsid w:val="000D6DAD"/>
    <w:rsid w:val="000D718B"/>
    <w:rsid w:val="000E0A88"/>
    <w:rsid w:val="000E0FEB"/>
    <w:rsid w:val="000E2672"/>
    <w:rsid w:val="000E3C1C"/>
    <w:rsid w:val="000E42D5"/>
    <w:rsid w:val="000E6B3B"/>
    <w:rsid w:val="000F25FB"/>
    <w:rsid w:val="000F332D"/>
    <w:rsid w:val="000F53F5"/>
    <w:rsid w:val="000F6D5A"/>
    <w:rsid w:val="000F72D3"/>
    <w:rsid w:val="000F7509"/>
    <w:rsid w:val="000F7A7F"/>
    <w:rsid w:val="0010092B"/>
    <w:rsid w:val="0010435C"/>
    <w:rsid w:val="00106BF4"/>
    <w:rsid w:val="00106E2A"/>
    <w:rsid w:val="00111D87"/>
    <w:rsid w:val="00122322"/>
    <w:rsid w:val="001226A4"/>
    <w:rsid w:val="00123C15"/>
    <w:rsid w:val="00124779"/>
    <w:rsid w:val="00124B71"/>
    <w:rsid w:val="00125908"/>
    <w:rsid w:val="00130D80"/>
    <w:rsid w:val="001312D4"/>
    <w:rsid w:val="001321DB"/>
    <w:rsid w:val="00133A57"/>
    <w:rsid w:val="00135FE8"/>
    <w:rsid w:val="00136401"/>
    <w:rsid w:val="00140700"/>
    <w:rsid w:val="001414EB"/>
    <w:rsid w:val="00142168"/>
    <w:rsid w:val="001450D2"/>
    <w:rsid w:val="00153251"/>
    <w:rsid w:val="00154DCF"/>
    <w:rsid w:val="001550DA"/>
    <w:rsid w:val="0015614F"/>
    <w:rsid w:val="001562AE"/>
    <w:rsid w:val="0015643D"/>
    <w:rsid w:val="00157192"/>
    <w:rsid w:val="00160EA7"/>
    <w:rsid w:val="00161738"/>
    <w:rsid w:val="0016239F"/>
    <w:rsid w:val="001629E7"/>
    <w:rsid w:val="00164042"/>
    <w:rsid w:val="00165459"/>
    <w:rsid w:val="0016585D"/>
    <w:rsid w:val="00165862"/>
    <w:rsid w:val="00166704"/>
    <w:rsid w:val="00166C6D"/>
    <w:rsid w:val="00167CDE"/>
    <w:rsid w:val="00171FF4"/>
    <w:rsid w:val="001726A7"/>
    <w:rsid w:val="00173F4F"/>
    <w:rsid w:val="0017539A"/>
    <w:rsid w:val="00180617"/>
    <w:rsid w:val="001809D6"/>
    <w:rsid w:val="00182EC1"/>
    <w:rsid w:val="0018388C"/>
    <w:rsid w:val="00183BB7"/>
    <w:rsid w:val="00184AE1"/>
    <w:rsid w:val="00184FD9"/>
    <w:rsid w:val="00186F94"/>
    <w:rsid w:val="00187681"/>
    <w:rsid w:val="001903B2"/>
    <w:rsid w:val="00191399"/>
    <w:rsid w:val="00191652"/>
    <w:rsid w:val="00193B75"/>
    <w:rsid w:val="00194E65"/>
    <w:rsid w:val="00196D68"/>
    <w:rsid w:val="00197D16"/>
    <w:rsid w:val="001A066A"/>
    <w:rsid w:val="001A55B9"/>
    <w:rsid w:val="001B0AE1"/>
    <w:rsid w:val="001B152A"/>
    <w:rsid w:val="001B1F49"/>
    <w:rsid w:val="001B52CC"/>
    <w:rsid w:val="001B6C7E"/>
    <w:rsid w:val="001B72D7"/>
    <w:rsid w:val="001B79CF"/>
    <w:rsid w:val="001C034B"/>
    <w:rsid w:val="001C0F7D"/>
    <w:rsid w:val="001C224E"/>
    <w:rsid w:val="001C2555"/>
    <w:rsid w:val="001C3B20"/>
    <w:rsid w:val="001D1795"/>
    <w:rsid w:val="001D18C0"/>
    <w:rsid w:val="001D2D41"/>
    <w:rsid w:val="001D3B08"/>
    <w:rsid w:val="001D414D"/>
    <w:rsid w:val="001D46E9"/>
    <w:rsid w:val="001E0D6D"/>
    <w:rsid w:val="001E0E2A"/>
    <w:rsid w:val="001E1747"/>
    <w:rsid w:val="001E258C"/>
    <w:rsid w:val="001E2E0E"/>
    <w:rsid w:val="001E406E"/>
    <w:rsid w:val="001E50DA"/>
    <w:rsid w:val="001F0B77"/>
    <w:rsid w:val="001F2872"/>
    <w:rsid w:val="001F29AA"/>
    <w:rsid w:val="001F5292"/>
    <w:rsid w:val="001F6E8A"/>
    <w:rsid w:val="001F6EB8"/>
    <w:rsid w:val="0020045A"/>
    <w:rsid w:val="00200831"/>
    <w:rsid w:val="00200B29"/>
    <w:rsid w:val="00204BA7"/>
    <w:rsid w:val="00206047"/>
    <w:rsid w:val="0020605F"/>
    <w:rsid w:val="00206EAC"/>
    <w:rsid w:val="002078F8"/>
    <w:rsid w:val="0021072B"/>
    <w:rsid w:val="00210C1E"/>
    <w:rsid w:val="00212268"/>
    <w:rsid w:val="0021236C"/>
    <w:rsid w:val="002123ED"/>
    <w:rsid w:val="00212727"/>
    <w:rsid w:val="00212F6F"/>
    <w:rsid w:val="00213EAE"/>
    <w:rsid w:val="002140D5"/>
    <w:rsid w:val="00214B89"/>
    <w:rsid w:val="00216060"/>
    <w:rsid w:val="00216086"/>
    <w:rsid w:val="00216AA4"/>
    <w:rsid w:val="00216F9A"/>
    <w:rsid w:val="002173E8"/>
    <w:rsid w:val="00217A17"/>
    <w:rsid w:val="00220E2A"/>
    <w:rsid w:val="00221587"/>
    <w:rsid w:val="002223C4"/>
    <w:rsid w:val="00224C42"/>
    <w:rsid w:val="002270FA"/>
    <w:rsid w:val="00227D04"/>
    <w:rsid w:val="00230BF8"/>
    <w:rsid w:val="00230DAA"/>
    <w:rsid w:val="00230F9E"/>
    <w:rsid w:val="00231758"/>
    <w:rsid w:val="0023256F"/>
    <w:rsid w:val="00234154"/>
    <w:rsid w:val="0023440F"/>
    <w:rsid w:val="00234B09"/>
    <w:rsid w:val="00235045"/>
    <w:rsid w:val="0023564E"/>
    <w:rsid w:val="00235A32"/>
    <w:rsid w:val="002361B7"/>
    <w:rsid w:val="00236753"/>
    <w:rsid w:val="00236CF2"/>
    <w:rsid w:val="00240269"/>
    <w:rsid w:val="00240406"/>
    <w:rsid w:val="002405E3"/>
    <w:rsid w:val="00241C5F"/>
    <w:rsid w:val="00242D4C"/>
    <w:rsid w:val="00242D5A"/>
    <w:rsid w:val="00243B82"/>
    <w:rsid w:val="002451B3"/>
    <w:rsid w:val="00247185"/>
    <w:rsid w:val="0025183D"/>
    <w:rsid w:val="002575C9"/>
    <w:rsid w:val="00261C01"/>
    <w:rsid w:val="00263981"/>
    <w:rsid w:val="00263DD2"/>
    <w:rsid w:val="00265200"/>
    <w:rsid w:val="00265CA3"/>
    <w:rsid w:val="0026643B"/>
    <w:rsid w:val="00266C90"/>
    <w:rsid w:val="0026750B"/>
    <w:rsid w:val="002711B7"/>
    <w:rsid w:val="002712F5"/>
    <w:rsid w:val="00271A0A"/>
    <w:rsid w:val="00271D96"/>
    <w:rsid w:val="0027406F"/>
    <w:rsid w:val="00274102"/>
    <w:rsid w:val="002750EF"/>
    <w:rsid w:val="002759CA"/>
    <w:rsid w:val="0027658E"/>
    <w:rsid w:val="0027692D"/>
    <w:rsid w:val="00277128"/>
    <w:rsid w:val="0028024E"/>
    <w:rsid w:val="00281707"/>
    <w:rsid w:val="002817F6"/>
    <w:rsid w:val="002819C8"/>
    <w:rsid w:val="00281DAF"/>
    <w:rsid w:val="0028323E"/>
    <w:rsid w:val="0028588B"/>
    <w:rsid w:val="00287047"/>
    <w:rsid w:val="002871D8"/>
    <w:rsid w:val="002902FA"/>
    <w:rsid w:val="00290BC8"/>
    <w:rsid w:val="0029171C"/>
    <w:rsid w:val="00291E06"/>
    <w:rsid w:val="00292314"/>
    <w:rsid w:val="00292359"/>
    <w:rsid w:val="00292595"/>
    <w:rsid w:val="00292768"/>
    <w:rsid w:val="002941F5"/>
    <w:rsid w:val="0029474C"/>
    <w:rsid w:val="00294832"/>
    <w:rsid w:val="00296787"/>
    <w:rsid w:val="002976E8"/>
    <w:rsid w:val="002A0BF2"/>
    <w:rsid w:val="002A13C3"/>
    <w:rsid w:val="002A35A0"/>
    <w:rsid w:val="002A42B1"/>
    <w:rsid w:val="002A4A1A"/>
    <w:rsid w:val="002A4E1F"/>
    <w:rsid w:val="002B05DD"/>
    <w:rsid w:val="002B0F39"/>
    <w:rsid w:val="002B29D9"/>
    <w:rsid w:val="002B2B08"/>
    <w:rsid w:val="002B2DB4"/>
    <w:rsid w:val="002B3E6B"/>
    <w:rsid w:val="002B59EA"/>
    <w:rsid w:val="002C02B4"/>
    <w:rsid w:val="002C0372"/>
    <w:rsid w:val="002C0469"/>
    <w:rsid w:val="002C158A"/>
    <w:rsid w:val="002C1946"/>
    <w:rsid w:val="002C237F"/>
    <w:rsid w:val="002C3521"/>
    <w:rsid w:val="002C3C66"/>
    <w:rsid w:val="002C47E0"/>
    <w:rsid w:val="002C4854"/>
    <w:rsid w:val="002C507D"/>
    <w:rsid w:val="002C7897"/>
    <w:rsid w:val="002C7DA2"/>
    <w:rsid w:val="002D10B5"/>
    <w:rsid w:val="002D39C3"/>
    <w:rsid w:val="002D3D6C"/>
    <w:rsid w:val="002E23FA"/>
    <w:rsid w:val="002E430C"/>
    <w:rsid w:val="002E53B2"/>
    <w:rsid w:val="002E57F6"/>
    <w:rsid w:val="002E725F"/>
    <w:rsid w:val="002E7B9F"/>
    <w:rsid w:val="002F00B4"/>
    <w:rsid w:val="002F12E6"/>
    <w:rsid w:val="002F1645"/>
    <w:rsid w:val="002F1D83"/>
    <w:rsid w:val="002F4DB1"/>
    <w:rsid w:val="002F6173"/>
    <w:rsid w:val="002F6D7C"/>
    <w:rsid w:val="0030035E"/>
    <w:rsid w:val="00302991"/>
    <w:rsid w:val="003045AC"/>
    <w:rsid w:val="003046E8"/>
    <w:rsid w:val="0030544E"/>
    <w:rsid w:val="0030617C"/>
    <w:rsid w:val="00306FE2"/>
    <w:rsid w:val="00307335"/>
    <w:rsid w:val="00311074"/>
    <w:rsid w:val="00312D9E"/>
    <w:rsid w:val="003132F0"/>
    <w:rsid w:val="00314372"/>
    <w:rsid w:val="00315A35"/>
    <w:rsid w:val="0032183D"/>
    <w:rsid w:val="00324FD2"/>
    <w:rsid w:val="00326500"/>
    <w:rsid w:val="00330193"/>
    <w:rsid w:val="003308B2"/>
    <w:rsid w:val="00330BF1"/>
    <w:rsid w:val="003335B3"/>
    <w:rsid w:val="00336DAB"/>
    <w:rsid w:val="00341281"/>
    <w:rsid w:val="003418CB"/>
    <w:rsid w:val="00342245"/>
    <w:rsid w:val="00343C42"/>
    <w:rsid w:val="00345F5A"/>
    <w:rsid w:val="0034692E"/>
    <w:rsid w:val="00347186"/>
    <w:rsid w:val="00350A97"/>
    <w:rsid w:val="00351173"/>
    <w:rsid w:val="00355508"/>
    <w:rsid w:val="00355F8A"/>
    <w:rsid w:val="00356B9B"/>
    <w:rsid w:val="003573BA"/>
    <w:rsid w:val="00357944"/>
    <w:rsid w:val="00360980"/>
    <w:rsid w:val="00361055"/>
    <w:rsid w:val="003613B5"/>
    <w:rsid w:val="0036326D"/>
    <w:rsid w:val="003641F0"/>
    <w:rsid w:val="00367912"/>
    <w:rsid w:val="003701BA"/>
    <w:rsid w:val="0037103A"/>
    <w:rsid w:val="00375B49"/>
    <w:rsid w:val="003818FD"/>
    <w:rsid w:val="0038283E"/>
    <w:rsid w:val="00383692"/>
    <w:rsid w:val="003845CD"/>
    <w:rsid w:val="003861D9"/>
    <w:rsid w:val="003863E8"/>
    <w:rsid w:val="003877CE"/>
    <w:rsid w:val="00390A0F"/>
    <w:rsid w:val="00390D5C"/>
    <w:rsid w:val="00391642"/>
    <w:rsid w:val="00393841"/>
    <w:rsid w:val="00394ABD"/>
    <w:rsid w:val="00394CE2"/>
    <w:rsid w:val="003952A2"/>
    <w:rsid w:val="003952A8"/>
    <w:rsid w:val="00395323"/>
    <w:rsid w:val="00397DD0"/>
    <w:rsid w:val="003A2336"/>
    <w:rsid w:val="003A39F2"/>
    <w:rsid w:val="003A4B24"/>
    <w:rsid w:val="003A68D9"/>
    <w:rsid w:val="003A6C4E"/>
    <w:rsid w:val="003B0140"/>
    <w:rsid w:val="003B068C"/>
    <w:rsid w:val="003B10CF"/>
    <w:rsid w:val="003B19D1"/>
    <w:rsid w:val="003B34A7"/>
    <w:rsid w:val="003B3F71"/>
    <w:rsid w:val="003B476C"/>
    <w:rsid w:val="003B581C"/>
    <w:rsid w:val="003B5B49"/>
    <w:rsid w:val="003B5EFD"/>
    <w:rsid w:val="003B663F"/>
    <w:rsid w:val="003B7777"/>
    <w:rsid w:val="003C1DAA"/>
    <w:rsid w:val="003C5065"/>
    <w:rsid w:val="003C5C14"/>
    <w:rsid w:val="003C6D55"/>
    <w:rsid w:val="003C7A25"/>
    <w:rsid w:val="003C7FC2"/>
    <w:rsid w:val="003D2C85"/>
    <w:rsid w:val="003D31EF"/>
    <w:rsid w:val="003D33F1"/>
    <w:rsid w:val="003D58D6"/>
    <w:rsid w:val="003D5ACE"/>
    <w:rsid w:val="003D6362"/>
    <w:rsid w:val="003D6947"/>
    <w:rsid w:val="003E01CA"/>
    <w:rsid w:val="003E05F4"/>
    <w:rsid w:val="003E1CC3"/>
    <w:rsid w:val="003E2AE4"/>
    <w:rsid w:val="003E3523"/>
    <w:rsid w:val="003E465A"/>
    <w:rsid w:val="003E4FE8"/>
    <w:rsid w:val="003E538F"/>
    <w:rsid w:val="003E616E"/>
    <w:rsid w:val="003E6DB0"/>
    <w:rsid w:val="003F3890"/>
    <w:rsid w:val="003F48EB"/>
    <w:rsid w:val="003F4C2C"/>
    <w:rsid w:val="003F518D"/>
    <w:rsid w:val="003F5217"/>
    <w:rsid w:val="003F5EB2"/>
    <w:rsid w:val="003F76A5"/>
    <w:rsid w:val="00401181"/>
    <w:rsid w:val="004013E4"/>
    <w:rsid w:val="00401F6F"/>
    <w:rsid w:val="0040323E"/>
    <w:rsid w:val="00403868"/>
    <w:rsid w:val="00403F9C"/>
    <w:rsid w:val="00404601"/>
    <w:rsid w:val="00404C70"/>
    <w:rsid w:val="00404E93"/>
    <w:rsid w:val="004055ED"/>
    <w:rsid w:val="00405F1B"/>
    <w:rsid w:val="00406E92"/>
    <w:rsid w:val="00411413"/>
    <w:rsid w:val="004119D2"/>
    <w:rsid w:val="004136ED"/>
    <w:rsid w:val="00413D87"/>
    <w:rsid w:val="00413E83"/>
    <w:rsid w:val="004145A2"/>
    <w:rsid w:val="00414AE6"/>
    <w:rsid w:val="00414DE6"/>
    <w:rsid w:val="004168DD"/>
    <w:rsid w:val="0041739F"/>
    <w:rsid w:val="00420DAA"/>
    <w:rsid w:val="0042193F"/>
    <w:rsid w:val="00422146"/>
    <w:rsid w:val="004221B0"/>
    <w:rsid w:val="00422FCE"/>
    <w:rsid w:val="00425F71"/>
    <w:rsid w:val="0042704A"/>
    <w:rsid w:val="0042724E"/>
    <w:rsid w:val="00427484"/>
    <w:rsid w:val="00430996"/>
    <w:rsid w:val="00433D89"/>
    <w:rsid w:val="00433E20"/>
    <w:rsid w:val="004349BC"/>
    <w:rsid w:val="00434FF6"/>
    <w:rsid w:val="00435A05"/>
    <w:rsid w:val="00436797"/>
    <w:rsid w:val="00437E04"/>
    <w:rsid w:val="00441409"/>
    <w:rsid w:val="00441B56"/>
    <w:rsid w:val="00442B46"/>
    <w:rsid w:val="00443D65"/>
    <w:rsid w:val="00445393"/>
    <w:rsid w:val="0044710E"/>
    <w:rsid w:val="00447A62"/>
    <w:rsid w:val="00447AF1"/>
    <w:rsid w:val="00447D43"/>
    <w:rsid w:val="00451059"/>
    <w:rsid w:val="00451CBC"/>
    <w:rsid w:val="0045243E"/>
    <w:rsid w:val="00452E23"/>
    <w:rsid w:val="004530B0"/>
    <w:rsid w:val="00453A12"/>
    <w:rsid w:val="00457B16"/>
    <w:rsid w:val="00461A09"/>
    <w:rsid w:val="00461E61"/>
    <w:rsid w:val="00462D9B"/>
    <w:rsid w:val="0046367D"/>
    <w:rsid w:val="004649C1"/>
    <w:rsid w:val="0046761F"/>
    <w:rsid w:val="004726BB"/>
    <w:rsid w:val="004730CE"/>
    <w:rsid w:val="0047312C"/>
    <w:rsid w:val="00474F91"/>
    <w:rsid w:val="004754DB"/>
    <w:rsid w:val="00475CC4"/>
    <w:rsid w:val="00475E20"/>
    <w:rsid w:val="004770FB"/>
    <w:rsid w:val="00482A0A"/>
    <w:rsid w:val="004830D7"/>
    <w:rsid w:val="00483523"/>
    <w:rsid w:val="004851EE"/>
    <w:rsid w:val="00485708"/>
    <w:rsid w:val="00485D69"/>
    <w:rsid w:val="00486571"/>
    <w:rsid w:val="0048790B"/>
    <w:rsid w:val="00491104"/>
    <w:rsid w:val="00491658"/>
    <w:rsid w:val="00494169"/>
    <w:rsid w:val="00494CE4"/>
    <w:rsid w:val="004955CC"/>
    <w:rsid w:val="00495F9C"/>
    <w:rsid w:val="004A1198"/>
    <w:rsid w:val="004A1DF4"/>
    <w:rsid w:val="004A3183"/>
    <w:rsid w:val="004A410B"/>
    <w:rsid w:val="004A4BDA"/>
    <w:rsid w:val="004A51BF"/>
    <w:rsid w:val="004A5FFC"/>
    <w:rsid w:val="004A6C0E"/>
    <w:rsid w:val="004A7FF1"/>
    <w:rsid w:val="004B31B7"/>
    <w:rsid w:val="004B3F23"/>
    <w:rsid w:val="004B5494"/>
    <w:rsid w:val="004B6094"/>
    <w:rsid w:val="004B69B8"/>
    <w:rsid w:val="004B6E1D"/>
    <w:rsid w:val="004C02A6"/>
    <w:rsid w:val="004C04BF"/>
    <w:rsid w:val="004C16D1"/>
    <w:rsid w:val="004C2441"/>
    <w:rsid w:val="004C2ED8"/>
    <w:rsid w:val="004C3D6D"/>
    <w:rsid w:val="004C41C2"/>
    <w:rsid w:val="004C4B31"/>
    <w:rsid w:val="004C4E13"/>
    <w:rsid w:val="004C668B"/>
    <w:rsid w:val="004D0430"/>
    <w:rsid w:val="004D1CFA"/>
    <w:rsid w:val="004D23D1"/>
    <w:rsid w:val="004D24AB"/>
    <w:rsid w:val="004D280D"/>
    <w:rsid w:val="004D2824"/>
    <w:rsid w:val="004D2B00"/>
    <w:rsid w:val="004D382F"/>
    <w:rsid w:val="004D3C0F"/>
    <w:rsid w:val="004D4F8D"/>
    <w:rsid w:val="004D5725"/>
    <w:rsid w:val="004D6F79"/>
    <w:rsid w:val="004D72C5"/>
    <w:rsid w:val="004D7F00"/>
    <w:rsid w:val="004E1AE1"/>
    <w:rsid w:val="004E219F"/>
    <w:rsid w:val="004E2291"/>
    <w:rsid w:val="004E36B1"/>
    <w:rsid w:val="004E486A"/>
    <w:rsid w:val="004E7E5B"/>
    <w:rsid w:val="004F0F89"/>
    <w:rsid w:val="004F2187"/>
    <w:rsid w:val="004F248C"/>
    <w:rsid w:val="004F3911"/>
    <w:rsid w:val="004F3DE2"/>
    <w:rsid w:val="004F5C30"/>
    <w:rsid w:val="004F6F4E"/>
    <w:rsid w:val="004F753F"/>
    <w:rsid w:val="00500167"/>
    <w:rsid w:val="005008EE"/>
    <w:rsid w:val="005024B7"/>
    <w:rsid w:val="00503207"/>
    <w:rsid w:val="00504CE4"/>
    <w:rsid w:val="00504D35"/>
    <w:rsid w:val="00504E7F"/>
    <w:rsid w:val="00505504"/>
    <w:rsid w:val="005057D8"/>
    <w:rsid w:val="0050645C"/>
    <w:rsid w:val="005120C5"/>
    <w:rsid w:val="00514502"/>
    <w:rsid w:val="00516072"/>
    <w:rsid w:val="005170D1"/>
    <w:rsid w:val="00517766"/>
    <w:rsid w:val="005179E1"/>
    <w:rsid w:val="00520BE9"/>
    <w:rsid w:val="00521359"/>
    <w:rsid w:val="00521975"/>
    <w:rsid w:val="00522373"/>
    <w:rsid w:val="00522531"/>
    <w:rsid w:val="00525494"/>
    <w:rsid w:val="00526C20"/>
    <w:rsid w:val="00526F94"/>
    <w:rsid w:val="00527C39"/>
    <w:rsid w:val="00527DE4"/>
    <w:rsid w:val="0053089E"/>
    <w:rsid w:val="00530C62"/>
    <w:rsid w:val="00531DA0"/>
    <w:rsid w:val="00532106"/>
    <w:rsid w:val="00534976"/>
    <w:rsid w:val="005352C3"/>
    <w:rsid w:val="005376C6"/>
    <w:rsid w:val="00537BD2"/>
    <w:rsid w:val="00542F21"/>
    <w:rsid w:val="0054340B"/>
    <w:rsid w:val="00543E9A"/>
    <w:rsid w:val="0054406E"/>
    <w:rsid w:val="00546858"/>
    <w:rsid w:val="00547615"/>
    <w:rsid w:val="00550CDB"/>
    <w:rsid w:val="0055238D"/>
    <w:rsid w:val="005529F4"/>
    <w:rsid w:val="00554AFA"/>
    <w:rsid w:val="00555293"/>
    <w:rsid w:val="00557289"/>
    <w:rsid w:val="0055763C"/>
    <w:rsid w:val="0055775A"/>
    <w:rsid w:val="00560C38"/>
    <w:rsid w:val="00563363"/>
    <w:rsid w:val="00563C6A"/>
    <w:rsid w:val="00564A82"/>
    <w:rsid w:val="00564C2D"/>
    <w:rsid w:val="00564FA3"/>
    <w:rsid w:val="00566AD5"/>
    <w:rsid w:val="005710DF"/>
    <w:rsid w:val="005710FD"/>
    <w:rsid w:val="005723F7"/>
    <w:rsid w:val="0057267D"/>
    <w:rsid w:val="00572685"/>
    <w:rsid w:val="00573229"/>
    <w:rsid w:val="00574134"/>
    <w:rsid w:val="005744AE"/>
    <w:rsid w:val="005754FA"/>
    <w:rsid w:val="00575808"/>
    <w:rsid w:val="00575A81"/>
    <w:rsid w:val="00575BB8"/>
    <w:rsid w:val="005806DD"/>
    <w:rsid w:val="00580857"/>
    <w:rsid w:val="0058172F"/>
    <w:rsid w:val="0058337E"/>
    <w:rsid w:val="00584AD4"/>
    <w:rsid w:val="00585EEC"/>
    <w:rsid w:val="00586D94"/>
    <w:rsid w:val="00587F1A"/>
    <w:rsid w:val="005909E5"/>
    <w:rsid w:val="005912B7"/>
    <w:rsid w:val="00591777"/>
    <w:rsid w:val="00591FAE"/>
    <w:rsid w:val="00593F02"/>
    <w:rsid w:val="005954F0"/>
    <w:rsid w:val="00597B48"/>
    <w:rsid w:val="005A2440"/>
    <w:rsid w:val="005A2690"/>
    <w:rsid w:val="005A5C91"/>
    <w:rsid w:val="005A76F2"/>
    <w:rsid w:val="005B0F00"/>
    <w:rsid w:val="005B1415"/>
    <w:rsid w:val="005B49E5"/>
    <w:rsid w:val="005B4B91"/>
    <w:rsid w:val="005B5757"/>
    <w:rsid w:val="005C0481"/>
    <w:rsid w:val="005C077B"/>
    <w:rsid w:val="005C0CC6"/>
    <w:rsid w:val="005C1D1A"/>
    <w:rsid w:val="005C2BCF"/>
    <w:rsid w:val="005C4053"/>
    <w:rsid w:val="005C63C7"/>
    <w:rsid w:val="005C63FB"/>
    <w:rsid w:val="005C6659"/>
    <w:rsid w:val="005C7376"/>
    <w:rsid w:val="005C7CE5"/>
    <w:rsid w:val="005D1330"/>
    <w:rsid w:val="005D403E"/>
    <w:rsid w:val="005D4E6D"/>
    <w:rsid w:val="005D5640"/>
    <w:rsid w:val="005D6539"/>
    <w:rsid w:val="005E0110"/>
    <w:rsid w:val="005E0428"/>
    <w:rsid w:val="005E1F36"/>
    <w:rsid w:val="005E2311"/>
    <w:rsid w:val="005E5D7E"/>
    <w:rsid w:val="005E6E29"/>
    <w:rsid w:val="005F0EB3"/>
    <w:rsid w:val="005F1EAB"/>
    <w:rsid w:val="005F2FF2"/>
    <w:rsid w:val="005F52AA"/>
    <w:rsid w:val="005F5690"/>
    <w:rsid w:val="005F7199"/>
    <w:rsid w:val="006001AF"/>
    <w:rsid w:val="00600525"/>
    <w:rsid w:val="00601112"/>
    <w:rsid w:val="00601E77"/>
    <w:rsid w:val="0060339C"/>
    <w:rsid w:val="00603CDE"/>
    <w:rsid w:val="00604EB7"/>
    <w:rsid w:val="00606EFD"/>
    <w:rsid w:val="0060705C"/>
    <w:rsid w:val="00607670"/>
    <w:rsid w:val="006100B1"/>
    <w:rsid w:val="006107B9"/>
    <w:rsid w:val="00610D5C"/>
    <w:rsid w:val="00611C8D"/>
    <w:rsid w:val="00612206"/>
    <w:rsid w:val="00612560"/>
    <w:rsid w:val="0061289F"/>
    <w:rsid w:val="006136D6"/>
    <w:rsid w:val="00614CBB"/>
    <w:rsid w:val="00614F40"/>
    <w:rsid w:val="00615691"/>
    <w:rsid w:val="00616443"/>
    <w:rsid w:val="0061686A"/>
    <w:rsid w:val="00617D02"/>
    <w:rsid w:val="00620613"/>
    <w:rsid w:val="006208B8"/>
    <w:rsid w:val="00620999"/>
    <w:rsid w:val="006209F3"/>
    <w:rsid w:val="00620A5E"/>
    <w:rsid w:val="00620ED5"/>
    <w:rsid w:val="006227C1"/>
    <w:rsid w:val="00622907"/>
    <w:rsid w:val="006231D0"/>
    <w:rsid w:val="00623EE0"/>
    <w:rsid w:val="006245B9"/>
    <w:rsid w:val="00624D7F"/>
    <w:rsid w:val="006270EA"/>
    <w:rsid w:val="006276D9"/>
    <w:rsid w:val="00627D79"/>
    <w:rsid w:val="00631B8E"/>
    <w:rsid w:val="006333A7"/>
    <w:rsid w:val="00633FEC"/>
    <w:rsid w:val="00634AFD"/>
    <w:rsid w:val="006356E9"/>
    <w:rsid w:val="00636336"/>
    <w:rsid w:val="00636AAB"/>
    <w:rsid w:val="00636D7E"/>
    <w:rsid w:val="00636EA2"/>
    <w:rsid w:val="00637A3F"/>
    <w:rsid w:val="006405F5"/>
    <w:rsid w:val="0064150A"/>
    <w:rsid w:val="0064192A"/>
    <w:rsid w:val="0064272A"/>
    <w:rsid w:val="0064480D"/>
    <w:rsid w:val="006467E5"/>
    <w:rsid w:val="006468E7"/>
    <w:rsid w:val="0064703F"/>
    <w:rsid w:val="0064728C"/>
    <w:rsid w:val="0065078B"/>
    <w:rsid w:val="00650B46"/>
    <w:rsid w:val="006518E3"/>
    <w:rsid w:val="006524DA"/>
    <w:rsid w:val="00652D5B"/>
    <w:rsid w:val="00653196"/>
    <w:rsid w:val="00653815"/>
    <w:rsid w:val="006561B9"/>
    <w:rsid w:val="00657C9A"/>
    <w:rsid w:val="00660A47"/>
    <w:rsid w:val="00660A96"/>
    <w:rsid w:val="00664508"/>
    <w:rsid w:val="00664BB0"/>
    <w:rsid w:val="00665572"/>
    <w:rsid w:val="006662AA"/>
    <w:rsid w:val="0066681A"/>
    <w:rsid w:val="00666969"/>
    <w:rsid w:val="00667BD2"/>
    <w:rsid w:val="006703A8"/>
    <w:rsid w:val="00672A44"/>
    <w:rsid w:val="00673A4C"/>
    <w:rsid w:val="00674D50"/>
    <w:rsid w:val="006753A0"/>
    <w:rsid w:val="00675DCB"/>
    <w:rsid w:val="006777C5"/>
    <w:rsid w:val="006777D0"/>
    <w:rsid w:val="00680D15"/>
    <w:rsid w:val="00683791"/>
    <w:rsid w:val="00684B1E"/>
    <w:rsid w:val="00685208"/>
    <w:rsid w:val="006858AF"/>
    <w:rsid w:val="0068635E"/>
    <w:rsid w:val="00690BE9"/>
    <w:rsid w:val="00691875"/>
    <w:rsid w:val="006919F4"/>
    <w:rsid w:val="00694464"/>
    <w:rsid w:val="00694817"/>
    <w:rsid w:val="0069512A"/>
    <w:rsid w:val="00695E56"/>
    <w:rsid w:val="00696BE6"/>
    <w:rsid w:val="006A061C"/>
    <w:rsid w:val="006A1712"/>
    <w:rsid w:val="006A18E5"/>
    <w:rsid w:val="006A3FFC"/>
    <w:rsid w:val="006A42CB"/>
    <w:rsid w:val="006A5282"/>
    <w:rsid w:val="006A62B0"/>
    <w:rsid w:val="006A7187"/>
    <w:rsid w:val="006A7808"/>
    <w:rsid w:val="006B007F"/>
    <w:rsid w:val="006B032F"/>
    <w:rsid w:val="006B1B67"/>
    <w:rsid w:val="006B3692"/>
    <w:rsid w:val="006B6201"/>
    <w:rsid w:val="006B7875"/>
    <w:rsid w:val="006C0329"/>
    <w:rsid w:val="006C2496"/>
    <w:rsid w:val="006C3638"/>
    <w:rsid w:val="006C4D3E"/>
    <w:rsid w:val="006C5FE3"/>
    <w:rsid w:val="006C602F"/>
    <w:rsid w:val="006C69F2"/>
    <w:rsid w:val="006C6D14"/>
    <w:rsid w:val="006C78F6"/>
    <w:rsid w:val="006C7DE2"/>
    <w:rsid w:val="006D12B0"/>
    <w:rsid w:val="006D14D4"/>
    <w:rsid w:val="006D24A7"/>
    <w:rsid w:val="006D24C5"/>
    <w:rsid w:val="006D260E"/>
    <w:rsid w:val="006D2C33"/>
    <w:rsid w:val="006D34B1"/>
    <w:rsid w:val="006D36C6"/>
    <w:rsid w:val="006D3DFF"/>
    <w:rsid w:val="006D467C"/>
    <w:rsid w:val="006D562A"/>
    <w:rsid w:val="006E1C13"/>
    <w:rsid w:val="006E2A2E"/>
    <w:rsid w:val="006E2BE1"/>
    <w:rsid w:val="006E3130"/>
    <w:rsid w:val="006E472A"/>
    <w:rsid w:val="006E6CEA"/>
    <w:rsid w:val="006F09F0"/>
    <w:rsid w:val="006F1650"/>
    <w:rsid w:val="006F2669"/>
    <w:rsid w:val="006F39A4"/>
    <w:rsid w:val="006F3F03"/>
    <w:rsid w:val="006F44C5"/>
    <w:rsid w:val="006F4EFD"/>
    <w:rsid w:val="006F6121"/>
    <w:rsid w:val="006F65EC"/>
    <w:rsid w:val="007004A9"/>
    <w:rsid w:val="007007D5"/>
    <w:rsid w:val="007018E2"/>
    <w:rsid w:val="007021B9"/>
    <w:rsid w:val="00704078"/>
    <w:rsid w:val="00705D16"/>
    <w:rsid w:val="00705D8E"/>
    <w:rsid w:val="00705EBA"/>
    <w:rsid w:val="00706BC9"/>
    <w:rsid w:val="00707C82"/>
    <w:rsid w:val="00710877"/>
    <w:rsid w:val="00711C0B"/>
    <w:rsid w:val="0071207B"/>
    <w:rsid w:val="00712ABF"/>
    <w:rsid w:val="007134E2"/>
    <w:rsid w:val="007140C5"/>
    <w:rsid w:val="007141C0"/>
    <w:rsid w:val="00715AD3"/>
    <w:rsid w:val="007166D5"/>
    <w:rsid w:val="00720741"/>
    <w:rsid w:val="007209D9"/>
    <w:rsid w:val="007211F6"/>
    <w:rsid w:val="00722080"/>
    <w:rsid w:val="00723237"/>
    <w:rsid w:val="00727DDC"/>
    <w:rsid w:val="00730513"/>
    <w:rsid w:val="0073087C"/>
    <w:rsid w:val="00731270"/>
    <w:rsid w:val="00731FFF"/>
    <w:rsid w:val="00732572"/>
    <w:rsid w:val="0073683E"/>
    <w:rsid w:val="00737067"/>
    <w:rsid w:val="00740BB6"/>
    <w:rsid w:val="00740F51"/>
    <w:rsid w:val="00741897"/>
    <w:rsid w:val="00742093"/>
    <w:rsid w:val="00742BE0"/>
    <w:rsid w:val="00742F63"/>
    <w:rsid w:val="007437CC"/>
    <w:rsid w:val="00743A49"/>
    <w:rsid w:val="00744B6D"/>
    <w:rsid w:val="007457E9"/>
    <w:rsid w:val="00745D14"/>
    <w:rsid w:val="00746613"/>
    <w:rsid w:val="00746C68"/>
    <w:rsid w:val="007470FE"/>
    <w:rsid w:val="007507A6"/>
    <w:rsid w:val="00751524"/>
    <w:rsid w:val="007534EA"/>
    <w:rsid w:val="00755071"/>
    <w:rsid w:val="00756166"/>
    <w:rsid w:val="00756753"/>
    <w:rsid w:val="00756C1D"/>
    <w:rsid w:val="00761A0F"/>
    <w:rsid w:val="00761E07"/>
    <w:rsid w:val="0076208E"/>
    <w:rsid w:val="00762844"/>
    <w:rsid w:val="00764494"/>
    <w:rsid w:val="00764616"/>
    <w:rsid w:val="00765664"/>
    <w:rsid w:val="00765C1D"/>
    <w:rsid w:val="007670A4"/>
    <w:rsid w:val="00767BD5"/>
    <w:rsid w:val="0077081A"/>
    <w:rsid w:val="007709A6"/>
    <w:rsid w:val="0077216D"/>
    <w:rsid w:val="00774923"/>
    <w:rsid w:val="00776BA2"/>
    <w:rsid w:val="0077770E"/>
    <w:rsid w:val="00780356"/>
    <w:rsid w:val="007806EC"/>
    <w:rsid w:val="00783497"/>
    <w:rsid w:val="0078368E"/>
    <w:rsid w:val="00785469"/>
    <w:rsid w:val="007902AC"/>
    <w:rsid w:val="00790D97"/>
    <w:rsid w:val="00791B4E"/>
    <w:rsid w:val="00792AE5"/>
    <w:rsid w:val="00793A02"/>
    <w:rsid w:val="00793DD1"/>
    <w:rsid w:val="00794770"/>
    <w:rsid w:val="0079496C"/>
    <w:rsid w:val="00796133"/>
    <w:rsid w:val="007A0781"/>
    <w:rsid w:val="007A4332"/>
    <w:rsid w:val="007A44F1"/>
    <w:rsid w:val="007A537D"/>
    <w:rsid w:val="007A697B"/>
    <w:rsid w:val="007A69C2"/>
    <w:rsid w:val="007A77AD"/>
    <w:rsid w:val="007B06D1"/>
    <w:rsid w:val="007B13EC"/>
    <w:rsid w:val="007B1A11"/>
    <w:rsid w:val="007B4792"/>
    <w:rsid w:val="007B7D29"/>
    <w:rsid w:val="007C0660"/>
    <w:rsid w:val="007C10B7"/>
    <w:rsid w:val="007C12AF"/>
    <w:rsid w:val="007C1825"/>
    <w:rsid w:val="007C1A24"/>
    <w:rsid w:val="007C1B7F"/>
    <w:rsid w:val="007C27B9"/>
    <w:rsid w:val="007C2AE8"/>
    <w:rsid w:val="007C3E03"/>
    <w:rsid w:val="007C614F"/>
    <w:rsid w:val="007D0D3B"/>
    <w:rsid w:val="007D184D"/>
    <w:rsid w:val="007D1997"/>
    <w:rsid w:val="007D211A"/>
    <w:rsid w:val="007D2FD1"/>
    <w:rsid w:val="007D359C"/>
    <w:rsid w:val="007D39F2"/>
    <w:rsid w:val="007D6A26"/>
    <w:rsid w:val="007D7139"/>
    <w:rsid w:val="007E023F"/>
    <w:rsid w:val="007E09F5"/>
    <w:rsid w:val="007E18FE"/>
    <w:rsid w:val="007E24C0"/>
    <w:rsid w:val="007E26F0"/>
    <w:rsid w:val="007E2D10"/>
    <w:rsid w:val="007E3530"/>
    <w:rsid w:val="007E541D"/>
    <w:rsid w:val="007E6883"/>
    <w:rsid w:val="007E6D62"/>
    <w:rsid w:val="007E707A"/>
    <w:rsid w:val="007E7518"/>
    <w:rsid w:val="007F1954"/>
    <w:rsid w:val="007F2254"/>
    <w:rsid w:val="007F3607"/>
    <w:rsid w:val="007F59A3"/>
    <w:rsid w:val="007F6168"/>
    <w:rsid w:val="0080164E"/>
    <w:rsid w:val="00801D12"/>
    <w:rsid w:val="00802458"/>
    <w:rsid w:val="008036FA"/>
    <w:rsid w:val="00805EDF"/>
    <w:rsid w:val="008064EB"/>
    <w:rsid w:val="00806C3A"/>
    <w:rsid w:val="00811605"/>
    <w:rsid w:val="0081320D"/>
    <w:rsid w:val="00813518"/>
    <w:rsid w:val="00813BF1"/>
    <w:rsid w:val="008162F0"/>
    <w:rsid w:val="00817BF8"/>
    <w:rsid w:val="00821080"/>
    <w:rsid w:val="00823C44"/>
    <w:rsid w:val="00823DD5"/>
    <w:rsid w:val="0082469B"/>
    <w:rsid w:val="008260FC"/>
    <w:rsid w:val="008262E4"/>
    <w:rsid w:val="00827B1E"/>
    <w:rsid w:val="00827CAA"/>
    <w:rsid w:val="00827D51"/>
    <w:rsid w:val="00830C7E"/>
    <w:rsid w:val="008345AE"/>
    <w:rsid w:val="008357BE"/>
    <w:rsid w:val="00836045"/>
    <w:rsid w:val="00837C42"/>
    <w:rsid w:val="00840242"/>
    <w:rsid w:val="00842049"/>
    <w:rsid w:val="008430BD"/>
    <w:rsid w:val="00845178"/>
    <w:rsid w:val="0084555D"/>
    <w:rsid w:val="008473F8"/>
    <w:rsid w:val="00847BDF"/>
    <w:rsid w:val="00847CC5"/>
    <w:rsid w:val="00847DB1"/>
    <w:rsid w:val="00847DCE"/>
    <w:rsid w:val="00850735"/>
    <w:rsid w:val="00850B35"/>
    <w:rsid w:val="00851BB5"/>
    <w:rsid w:val="00852731"/>
    <w:rsid w:val="00853066"/>
    <w:rsid w:val="00853BD4"/>
    <w:rsid w:val="00854174"/>
    <w:rsid w:val="00854DF1"/>
    <w:rsid w:val="00855B68"/>
    <w:rsid w:val="00856EBD"/>
    <w:rsid w:val="00857173"/>
    <w:rsid w:val="00860EC5"/>
    <w:rsid w:val="0086270C"/>
    <w:rsid w:val="00862C9C"/>
    <w:rsid w:val="0086472B"/>
    <w:rsid w:val="00865117"/>
    <w:rsid w:val="00865545"/>
    <w:rsid w:val="00865BD3"/>
    <w:rsid w:val="00866185"/>
    <w:rsid w:val="00866EA9"/>
    <w:rsid w:val="00870344"/>
    <w:rsid w:val="008703C8"/>
    <w:rsid w:val="008720DC"/>
    <w:rsid w:val="00874CD9"/>
    <w:rsid w:val="00874F1B"/>
    <w:rsid w:val="0087559C"/>
    <w:rsid w:val="008769BD"/>
    <w:rsid w:val="00876AB8"/>
    <w:rsid w:val="00876D1E"/>
    <w:rsid w:val="00881F8E"/>
    <w:rsid w:val="008872D5"/>
    <w:rsid w:val="00890598"/>
    <w:rsid w:val="00892AEC"/>
    <w:rsid w:val="00893863"/>
    <w:rsid w:val="0089480A"/>
    <w:rsid w:val="00894F80"/>
    <w:rsid w:val="008963F5"/>
    <w:rsid w:val="008A0E35"/>
    <w:rsid w:val="008A2025"/>
    <w:rsid w:val="008A2CF1"/>
    <w:rsid w:val="008A6324"/>
    <w:rsid w:val="008B088F"/>
    <w:rsid w:val="008B0B20"/>
    <w:rsid w:val="008B213B"/>
    <w:rsid w:val="008B363C"/>
    <w:rsid w:val="008B382F"/>
    <w:rsid w:val="008B4517"/>
    <w:rsid w:val="008B6339"/>
    <w:rsid w:val="008C0CA0"/>
    <w:rsid w:val="008C1AD9"/>
    <w:rsid w:val="008C2D1D"/>
    <w:rsid w:val="008C4BD1"/>
    <w:rsid w:val="008C500F"/>
    <w:rsid w:val="008C52BC"/>
    <w:rsid w:val="008C5318"/>
    <w:rsid w:val="008C542E"/>
    <w:rsid w:val="008C5B1D"/>
    <w:rsid w:val="008C7BC7"/>
    <w:rsid w:val="008D16C0"/>
    <w:rsid w:val="008D27EB"/>
    <w:rsid w:val="008D35BD"/>
    <w:rsid w:val="008D5ECD"/>
    <w:rsid w:val="008D738F"/>
    <w:rsid w:val="008E0F90"/>
    <w:rsid w:val="008E27D9"/>
    <w:rsid w:val="008E28DE"/>
    <w:rsid w:val="008E2D16"/>
    <w:rsid w:val="008E3224"/>
    <w:rsid w:val="008E41D4"/>
    <w:rsid w:val="008E504F"/>
    <w:rsid w:val="008E5397"/>
    <w:rsid w:val="008F2568"/>
    <w:rsid w:val="008F3ABC"/>
    <w:rsid w:val="008F3DA9"/>
    <w:rsid w:val="008F403E"/>
    <w:rsid w:val="008F46EB"/>
    <w:rsid w:val="008F6131"/>
    <w:rsid w:val="008F63E2"/>
    <w:rsid w:val="008F654A"/>
    <w:rsid w:val="008F6B30"/>
    <w:rsid w:val="00900AD3"/>
    <w:rsid w:val="0090259B"/>
    <w:rsid w:val="0090279F"/>
    <w:rsid w:val="00902D3B"/>
    <w:rsid w:val="00910A84"/>
    <w:rsid w:val="009115CB"/>
    <w:rsid w:val="009127E5"/>
    <w:rsid w:val="00914B49"/>
    <w:rsid w:val="00914BFC"/>
    <w:rsid w:val="00915A57"/>
    <w:rsid w:val="00917B79"/>
    <w:rsid w:val="0092011F"/>
    <w:rsid w:val="0092058F"/>
    <w:rsid w:val="00923DF7"/>
    <w:rsid w:val="009245E9"/>
    <w:rsid w:val="009246C9"/>
    <w:rsid w:val="009256B1"/>
    <w:rsid w:val="0092604B"/>
    <w:rsid w:val="00927842"/>
    <w:rsid w:val="00927B26"/>
    <w:rsid w:val="009319CF"/>
    <w:rsid w:val="00933C40"/>
    <w:rsid w:val="009347F5"/>
    <w:rsid w:val="009368C6"/>
    <w:rsid w:val="00936A9C"/>
    <w:rsid w:val="00940AC3"/>
    <w:rsid w:val="00940D20"/>
    <w:rsid w:val="00941BD9"/>
    <w:rsid w:val="00942606"/>
    <w:rsid w:val="0094278B"/>
    <w:rsid w:val="00942CC4"/>
    <w:rsid w:val="009449DD"/>
    <w:rsid w:val="00944EAC"/>
    <w:rsid w:val="00946B6D"/>
    <w:rsid w:val="00947EFE"/>
    <w:rsid w:val="00950FE6"/>
    <w:rsid w:val="00951397"/>
    <w:rsid w:val="00951D46"/>
    <w:rsid w:val="00952A30"/>
    <w:rsid w:val="00955210"/>
    <w:rsid w:val="009558F6"/>
    <w:rsid w:val="00955D2F"/>
    <w:rsid w:val="0095619F"/>
    <w:rsid w:val="00956BF8"/>
    <w:rsid w:val="009601A5"/>
    <w:rsid w:val="00960C40"/>
    <w:rsid w:val="00961B11"/>
    <w:rsid w:val="00961D0A"/>
    <w:rsid w:val="00962151"/>
    <w:rsid w:val="00962B63"/>
    <w:rsid w:val="009651A9"/>
    <w:rsid w:val="00967BCE"/>
    <w:rsid w:val="00971EB1"/>
    <w:rsid w:val="00973CA0"/>
    <w:rsid w:val="00974387"/>
    <w:rsid w:val="00974774"/>
    <w:rsid w:val="00975A52"/>
    <w:rsid w:val="00975DC8"/>
    <w:rsid w:val="009767F0"/>
    <w:rsid w:val="0097744B"/>
    <w:rsid w:val="0097772B"/>
    <w:rsid w:val="00977D7F"/>
    <w:rsid w:val="009806DC"/>
    <w:rsid w:val="009807FB"/>
    <w:rsid w:val="00980B38"/>
    <w:rsid w:val="00981911"/>
    <w:rsid w:val="00981FE5"/>
    <w:rsid w:val="0098294E"/>
    <w:rsid w:val="00982991"/>
    <w:rsid w:val="00983C0B"/>
    <w:rsid w:val="009853AB"/>
    <w:rsid w:val="00985577"/>
    <w:rsid w:val="009872F7"/>
    <w:rsid w:val="00987362"/>
    <w:rsid w:val="00991D12"/>
    <w:rsid w:val="0099245E"/>
    <w:rsid w:val="00992AEF"/>
    <w:rsid w:val="00993A8B"/>
    <w:rsid w:val="009A18A4"/>
    <w:rsid w:val="009A18BF"/>
    <w:rsid w:val="009A18C4"/>
    <w:rsid w:val="009A1BEB"/>
    <w:rsid w:val="009A1E33"/>
    <w:rsid w:val="009A1EE0"/>
    <w:rsid w:val="009A21D4"/>
    <w:rsid w:val="009A2380"/>
    <w:rsid w:val="009A35FC"/>
    <w:rsid w:val="009A582E"/>
    <w:rsid w:val="009A6C0E"/>
    <w:rsid w:val="009A7417"/>
    <w:rsid w:val="009B0051"/>
    <w:rsid w:val="009B08EC"/>
    <w:rsid w:val="009B1241"/>
    <w:rsid w:val="009B1632"/>
    <w:rsid w:val="009B2F38"/>
    <w:rsid w:val="009B45D4"/>
    <w:rsid w:val="009B5684"/>
    <w:rsid w:val="009B590B"/>
    <w:rsid w:val="009B7A20"/>
    <w:rsid w:val="009C109A"/>
    <w:rsid w:val="009C1332"/>
    <w:rsid w:val="009C14BA"/>
    <w:rsid w:val="009C1B89"/>
    <w:rsid w:val="009C3510"/>
    <w:rsid w:val="009C4079"/>
    <w:rsid w:val="009C42C9"/>
    <w:rsid w:val="009C54E2"/>
    <w:rsid w:val="009C5768"/>
    <w:rsid w:val="009C6B93"/>
    <w:rsid w:val="009C6C28"/>
    <w:rsid w:val="009C7441"/>
    <w:rsid w:val="009C77AB"/>
    <w:rsid w:val="009D03CA"/>
    <w:rsid w:val="009D0516"/>
    <w:rsid w:val="009D1476"/>
    <w:rsid w:val="009D1C53"/>
    <w:rsid w:val="009D20FB"/>
    <w:rsid w:val="009D30D0"/>
    <w:rsid w:val="009D36DD"/>
    <w:rsid w:val="009D5D1C"/>
    <w:rsid w:val="009D70EE"/>
    <w:rsid w:val="009D7D72"/>
    <w:rsid w:val="009D7E31"/>
    <w:rsid w:val="009E1D67"/>
    <w:rsid w:val="009E34A3"/>
    <w:rsid w:val="009E4276"/>
    <w:rsid w:val="009E4408"/>
    <w:rsid w:val="009E4D71"/>
    <w:rsid w:val="009E4DE0"/>
    <w:rsid w:val="009E5193"/>
    <w:rsid w:val="009E6AFE"/>
    <w:rsid w:val="009E7115"/>
    <w:rsid w:val="009F1054"/>
    <w:rsid w:val="009F34DB"/>
    <w:rsid w:val="009F353D"/>
    <w:rsid w:val="009F4E56"/>
    <w:rsid w:val="009F61F9"/>
    <w:rsid w:val="009F6C0F"/>
    <w:rsid w:val="00A00AA9"/>
    <w:rsid w:val="00A011F3"/>
    <w:rsid w:val="00A014E4"/>
    <w:rsid w:val="00A01AAE"/>
    <w:rsid w:val="00A026DD"/>
    <w:rsid w:val="00A03448"/>
    <w:rsid w:val="00A03628"/>
    <w:rsid w:val="00A0444F"/>
    <w:rsid w:val="00A058E3"/>
    <w:rsid w:val="00A066D8"/>
    <w:rsid w:val="00A13123"/>
    <w:rsid w:val="00A13207"/>
    <w:rsid w:val="00A15066"/>
    <w:rsid w:val="00A1628F"/>
    <w:rsid w:val="00A16BDB"/>
    <w:rsid w:val="00A16E30"/>
    <w:rsid w:val="00A23734"/>
    <w:rsid w:val="00A24241"/>
    <w:rsid w:val="00A244B1"/>
    <w:rsid w:val="00A25426"/>
    <w:rsid w:val="00A260F6"/>
    <w:rsid w:val="00A265F4"/>
    <w:rsid w:val="00A26E4D"/>
    <w:rsid w:val="00A27002"/>
    <w:rsid w:val="00A325BD"/>
    <w:rsid w:val="00A3276F"/>
    <w:rsid w:val="00A330D3"/>
    <w:rsid w:val="00A33126"/>
    <w:rsid w:val="00A343FA"/>
    <w:rsid w:val="00A344CB"/>
    <w:rsid w:val="00A34BEE"/>
    <w:rsid w:val="00A37ABD"/>
    <w:rsid w:val="00A41F44"/>
    <w:rsid w:val="00A437BE"/>
    <w:rsid w:val="00A445EE"/>
    <w:rsid w:val="00A4578A"/>
    <w:rsid w:val="00A463E8"/>
    <w:rsid w:val="00A465B3"/>
    <w:rsid w:val="00A46D12"/>
    <w:rsid w:val="00A505ED"/>
    <w:rsid w:val="00A50792"/>
    <w:rsid w:val="00A50CE8"/>
    <w:rsid w:val="00A5165E"/>
    <w:rsid w:val="00A52579"/>
    <w:rsid w:val="00A52CF3"/>
    <w:rsid w:val="00A52D61"/>
    <w:rsid w:val="00A54B5A"/>
    <w:rsid w:val="00A558B2"/>
    <w:rsid w:val="00A5604C"/>
    <w:rsid w:val="00A56E9F"/>
    <w:rsid w:val="00A6053E"/>
    <w:rsid w:val="00A60E59"/>
    <w:rsid w:val="00A615C2"/>
    <w:rsid w:val="00A62063"/>
    <w:rsid w:val="00A6380E"/>
    <w:rsid w:val="00A642E6"/>
    <w:rsid w:val="00A64775"/>
    <w:rsid w:val="00A657E5"/>
    <w:rsid w:val="00A67DB4"/>
    <w:rsid w:val="00A70231"/>
    <w:rsid w:val="00A725DD"/>
    <w:rsid w:val="00A73628"/>
    <w:rsid w:val="00A73CB8"/>
    <w:rsid w:val="00A73D24"/>
    <w:rsid w:val="00A73E04"/>
    <w:rsid w:val="00A747EE"/>
    <w:rsid w:val="00A7485F"/>
    <w:rsid w:val="00A811E6"/>
    <w:rsid w:val="00A8161F"/>
    <w:rsid w:val="00A81AE3"/>
    <w:rsid w:val="00A8202F"/>
    <w:rsid w:val="00A832C9"/>
    <w:rsid w:val="00A837FB"/>
    <w:rsid w:val="00A86085"/>
    <w:rsid w:val="00A86B48"/>
    <w:rsid w:val="00A87B47"/>
    <w:rsid w:val="00A87CD9"/>
    <w:rsid w:val="00A87E56"/>
    <w:rsid w:val="00A87FD9"/>
    <w:rsid w:val="00A911BA"/>
    <w:rsid w:val="00A92263"/>
    <w:rsid w:val="00A93B5B"/>
    <w:rsid w:val="00A9416F"/>
    <w:rsid w:val="00A949D7"/>
    <w:rsid w:val="00A94EBB"/>
    <w:rsid w:val="00A9651F"/>
    <w:rsid w:val="00A965C1"/>
    <w:rsid w:val="00AA04DC"/>
    <w:rsid w:val="00AA0DB2"/>
    <w:rsid w:val="00AA0F8E"/>
    <w:rsid w:val="00AA2437"/>
    <w:rsid w:val="00AA3669"/>
    <w:rsid w:val="00AA6E33"/>
    <w:rsid w:val="00AA7510"/>
    <w:rsid w:val="00AB06AC"/>
    <w:rsid w:val="00AB12AC"/>
    <w:rsid w:val="00AB2D76"/>
    <w:rsid w:val="00AB321B"/>
    <w:rsid w:val="00AB4359"/>
    <w:rsid w:val="00AB4EF2"/>
    <w:rsid w:val="00AB57BC"/>
    <w:rsid w:val="00AB5AAE"/>
    <w:rsid w:val="00AB5E91"/>
    <w:rsid w:val="00AB5F0A"/>
    <w:rsid w:val="00AB5FAD"/>
    <w:rsid w:val="00AB6746"/>
    <w:rsid w:val="00AB7103"/>
    <w:rsid w:val="00AB7565"/>
    <w:rsid w:val="00AB7D36"/>
    <w:rsid w:val="00AC0273"/>
    <w:rsid w:val="00AC04B1"/>
    <w:rsid w:val="00AC2137"/>
    <w:rsid w:val="00AC2DE9"/>
    <w:rsid w:val="00AC3EB3"/>
    <w:rsid w:val="00AC4943"/>
    <w:rsid w:val="00AC4D0B"/>
    <w:rsid w:val="00AC6372"/>
    <w:rsid w:val="00AC6FA1"/>
    <w:rsid w:val="00AD02DD"/>
    <w:rsid w:val="00AD03A2"/>
    <w:rsid w:val="00AD083B"/>
    <w:rsid w:val="00AD0974"/>
    <w:rsid w:val="00AD27E7"/>
    <w:rsid w:val="00AD3F24"/>
    <w:rsid w:val="00AD423A"/>
    <w:rsid w:val="00AD48AC"/>
    <w:rsid w:val="00AD4DD1"/>
    <w:rsid w:val="00AD5905"/>
    <w:rsid w:val="00AD5B7F"/>
    <w:rsid w:val="00AD5C01"/>
    <w:rsid w:val="00AE085A"/>
    <w:rsid w:val="00AE0B3B"/>
    <w:rsid w:val="00AE0E51"/>
    <w:rsid w:val="00AE0E95"/>
    <w:rsid w:val="00AE1A92"/>
    <w:rsid w:val="00AE1DCB"/>
    <w:rsid w:val="00AE26C6"/>
    <w:rsid w:val="00AE3686"/>
    <w:rsid w:val="00AE3E75"/>
    <w:rsid w:val="00AE512E"/>
    <w:rsid w:val="00AE5785"/>
    <w:rsid w:val="00AE737B"/>
    <w:rsid w:val="00AF1883"/>
    <w:rsid w:val="00AF24AB"/>
    <w:rsid w:val="00AF4AA0"/>
    <w:rsid w:val="00AF57E0"/>
    <w:rsid w:val="00AF626A"/>
    <w:rsid w:val="00AF6CA4"/>
    <w:rsid w:val="00B00855"/>
    <w:rsid w:val="00B00E4A"/>
    <w:rsid w:val="00B11015"/>
    <w:rsid w:val="00B12476"/>
    <w:rsid w:val="00B125A2"/>
    <w:rsid w:val="00B13F0C"/>
    <w:rsid w:val="00B1523F"/>
    <w:rsid w:val="00B16EF7"/>
    <w:rsid w:val="00B231D6"/>
    <w:rsid w:val="00B26453"/>
    <w:rsid w:val="00B26873"/>
    <w:rsid w:val="00B27BFA"/>
    <w:rsid w:val="00B31A54"/>
    <w:rsid w:val="00B325A1"/>
    <w:rsid w:val="00B326C5"/>
    <w:rsid w:val="00B34332"/>
    <w:rsid w:val="00B356CE"/>
    <w:rsid w:val="00B411DD"/>
    <w:rsid w:val="00B41F07"/>
    <w:rsid w:val="00B42433"/>
    <w:rsid w:val="00B42B01"/>
    <w:rsid w:val="00B4466D"/>
    <w:rsid w:val="00B44845"/>
    <w:rsid w:val="00B44CBA"/>
    <w:rsid w:val="00B44E63"/>
    <w:rsid w:val="00B46F6C"/>
    <w:rsid w:val="00B4761C"/>
    <w:rsid w:val="00B47B88"/>
    <w:rsid w:val="00B511FC"/>
    <w:rsid w:val="00B512AD"/>
    <w:rsid w:val="00B517CD"/>
    <w:rsid w:val="00B51F0D"/>
    <w:rsid w:val="00B52031"/>
    <w:rsid w:val="00B5485C"/>
    <w:rsid w:val="00B55A2A"/>
    <w:rsid w:val="00B56A1B"/>
    <w:rsid w:val="00B57585"/>
    <w:rsid w:val="00B605C7"/>
    <w:rsid w:val="00B60786"/>
    <w:rsid w:val="00B62EB5"/>
    <w:rsid w:val="00B661CF"/>
    <w:rsid w:val="00B66D9D"/>
    <w:rsid w:val="00B677DD"/>
    <w:rsid w:val="00B7098E"/>
    <w:rsid w:val="00B71046"/>
    <w:rsid w:val="00B74945"/>
    <w:rsid w:val="00B76D92"/>
    <w:rsid w:val="00B777C7"/>
    <w:rsid w:val="00B77D90"/>
    <w:rsid w:val="00B80FD5"/>
    <w:rsid w:val="00B81186"/>
    <w:rsid w:val="00B82581"/>
    <w:rsid w:val="00B829F0"/>
    <w:rsid w:val="00B832DF"/>
    <w:rsid w:val="00B83C01"/>
    <w:rsid w:val="00B84141"/>
    <w:rsid w:val="00B84C21"/>
    <w:rsid w:val="00B84EE0"/>
    <w:rsid w:val="00B872E8"/>
    <w:rsid w:val="00B90020"/>
    <w:rsid w:val="00B903CE"/>
    <w:rsid w:val="00B9213D"/>
    <w:rsid w:val="00B9243E"/>
    <w:rsid w:val="00B950B6"/>
    <w:rsid w:val="00B963D2"/>
    <w:rsid w:val="00B96B15"/>
    <w:rsid w:val="00B96E6B"/>
    <w:rsid w:val="00B9749F"/>
    <w:rsid w:val="00BA0A51"/>
    <w:rsid w:val="00BA1376"/>
    <w:rsid w:val="00BA25FE"/>
    <w:rsid w:val="00BA6786"/>
    <w:rsid w:val="00BA67AD"/>
    <w:rsid w:val="00BA7100"/>
    <w:rsid w:val="00BA7539"/>
    <w:rsid w:val="00BA7AE5"/>
    <w:rsid w:val="00BB00DC"/>
    <w:rsid w:val="00BB1618"/>
    <w:rsid w:val="00BB1AB8"/>
    <w:rsid w:val="00BB30F1"/>
    <w:rsid w:val="00BB37D3"/>
    <w:rsid w:val="00BB5BF2"/>
    <w:rsid w:val="00BB6D0F"/>
    <w:rsid w:val="00BB6EC8"/>
    <w:rsid w:val="00BB73C1"/>
    <w:rsid w:val="00BB73F9"/>
    <w:rsid w:val="00BB7F13"/>
    <w:rsid w:val="00BC2423"/>
    <w:rsid w:val="00BC29EF"/>
    <w:rsid w:val="00BC2C55"/>
    <w:rsid w:val="00BC434E"/>
    <w:rsid w:val="00BC43DF"/>
    <w:rsid w:val="00BC525F"/>
    <w:rsid w:val="00BC599B"/>
    <w:rsid w:val="00BC676C"/>
    <w:rsid w:val="00BC794F"/>
    <w:rsid w:val="00BC7CF6"/>
    <w:rsid w:val="00BD0DBC"/>
    <w:rsid w:val="00BE29A2"/>
    <w:rsid w:val="00BE2D42"/>
    <w:rsid w:val="00BE30DF"/>
    <w:rsid w:val="00BE46C3"/>
    <w:rsid w:val="00BE5A35"/>
    <w:rsid w:val="00BE5DFD"/>
    <w:rsid w:val="00BE5F32"/>
    <w:rsid w:val="00BE76EC"/>
    <w:rsid w:val="00BF0B31"/>
    <w:rsid w:val="00BF2209"/>
    <w:rsid w:val="00BF2386"/>
    <w:rsid w:val="00BF32CE"/>
    <w:rsid w:val="00BF34A0"/>
    <w:rsid w:val="00BF3B45"/>
    <w:rsid w:val="00BF581C"/>
    <w:rsid w:val="00C00DD2"/>
    <w:rsid w:val="00C0152D"/>
    <w:rsid w:val="00C0154D"/>
    <w:rsid w:val="00C042D5"/>
    <w:rsid w:val="00C05C6C"/>
    <w:rsid w:val="00C0615C"/>
    <w:rsid w:val="00C1330B"/>
    <w:rsid w:val="00C16A02"/>
    <w:rsid w:val="00C17BF1"/>
    <w:rsid w:val="00C21164"/>
    <w:rsid w:val="00C21A84"/>
    <w:rsid w:val="00C21DC8"/>
    <w:rsid w:val="00C22E19"/>
    <w:rsid w:val="00C23318"/>
    <w:rsid w:val="00C25C93"/>
    <w:rsid w:val="00C26AC2"/>
    <w:rsid w:val="00C2752E"/>
    <w:rsid w:val="00C30FD5"/>
    <w:rsid w:val="00C3192E"/>
    <w:rsid w:val="00C320D0"/>
    <w:rsid w:val="00C328AC"/>
    <w:rsid w:val="00C33C93"/>
    <w:rsid w:val="00C352DB"/>
    <w:rsid w:val="00C35FA7"/>
    <w:rsid w:val="00C36151"/>
    <w:rsid w:val="00C3701F"/>
    <w:rsid w:val="00C408E4"/>
    <w:rsid w:val="00C41709"/>
    <w:rsid w:val="00C417BA"/>
    <w:rsid w:val="00C41C0A"/>
    <w:rsid w:val="00C43DBC"/>
    <w:rsid w:val="00C44A1F"/>
    <w:rsid w:val="00C460B0"/>
    <w:rsid w:val="00C46B5B"/>
    <w:rsid w:val="00C476EA"/>
    <w:rsid w:val="00C50B3E"/>
    <w:rsid w:val="00C52222"/>
    <w:rsid w:val="00C522CC"/>
    <w:rsid w:val="00C53AA9"/>
    <w:rsid w:val="00C53CA2"/>
    <w:rsid w:val="00C56878"/>
    <w:rsid w:val="00C56971"/>
    <w:rsid w:val="00C60BA9"/>
    <w:rsid w:val="00C6181D"/>
    <w:rsid w:val="00C61B1B"/>
    <w:rsid w:val="00C61F5E"/>
    <w:rsid w:val="00C6259F"/>
    <w:rsid w:val="00C6266C"/>
    <w:rsid w:val="00C62CD7"/>
    <w:rsid w:val="00C63EAF"/>
    <w:rsid w:val="00C64CA0"/>
    <w:rsid w:val="00C650D8"/>
    <w:rsid w:val="00C66597"/>
    <w:rsid w:val="00C665C9"/>
    <w:rsid w:val="00C66714"/>
    <w:rsid w:val="00C66D1E"/>
    <w:rsid w:val="00C6758E"/>
    <w:rsid w:val="00C679AF"/>
    <w:rsid w:val="00C70348"/>
    <w:rsid w:val="00C70C3C"/>
    <w:rsid w:val="00C7169E"/>
    <w:rsid w:val="00C72C79"/>
    <w:rsid w:val="00C747A7"/>
    <w:rsid w:val="00C747E0"/>
    <w:rsid w:val="00C7593C"/>
    <w:rsid w:val="00C76722"/>
    <w:rsid w:val="00C76FAA"/>
    <w:rsid w:val="00C77340"/>
    <w:rsid w:val="00C77367"/>
    <w:rsid w:val="00C81468"/>
    <w:rsid w:val="00C81DFB"/>
    <w:rsid w:val="00C81F41"/>
    <w:rsid w:val="00C82E05"/>
    <w:rsid w:val="00C83435"/>
    <w:rsid w:val="00C84499"/>
    <w:rsid w:val="00C854FD"/>
    <w:rsid w:val="00C860AA"/>
    <w:rsid w:val="00C86825"/>
    <w:rsid w:val="00C87B26"/>
    <w:rsid w:val="00C87D64"/>
    <w:rsid w:val="00C9201D"/>
    <w:rsid w:val="00C92F61"/>
    <w:rsid w:val="00C930F1"/>
    <w:rsid w:val="00C9567B"/>
    <w:rsid w:val="00C95CD4"/>
    <w:rsid w:val="00C965D6"/>
    <w:rsid w:val="00C9748F"/>
    <w:rsid w:val="00C97837"/>
    <w:rsid w:val="00C9787B"/>
    <w:rsid w:val="00CA0F3D"/>
    <w:rsid w:val="00CA2111"/>
    <w:rsid w:val="00CA45DC"/>
    <w:rsid w:val="00CA58AD"/>
    <w:rsid w:val="00CA5D11"/>
    <w:rsid w:val="00CA6024"/>
    <w:rsid w:val="00CA6B0A"/>
    <w:rsid w:val="00CA6CBF"/>
    <w:rsid w:val="00CA6DAD"/>
    <w:rsid w:val="00CA74AA"/>
    <w:rsid w:val="00CB013B"/>
    <w:rsid w:val="00CB040E"/>
    <w:rsid w:val="00CB0649"/>
    <w:rsid w:val="00CB1850"/>
    <w:rsid w:val="00CB1B0D"/>
    <w:rsid w:val="00CB1B19"/>
    <w:rsid w:val="00CB36B1"/>
    <w:rsid w:val="00CB3C13"/>
    <w:rsid w:val="00CB52D3"/>
    <w:rsid w:val="00CB5523"/>
    <w:rsid w:val="00CC4009"/>
    <w:rsid w:val="00CC64BB"/>
    <w:rsid w:val="00CC6A47"/>
    <w:rsid w:val="00CC7D3A"/>
    <w:rsid w:val="00CC7DB4"/>
    <w:rsid w:val="00CD0708"/>
    <w:rsid w:val="00CD0A64"/>
    <w:rsid w:val="00CD1841"/>
    <w:rsid w:val="00CD1DC1"/>
    <w:rsid w:val="00CD2337"/>
    <w:rsid w:val="00CD353B"/>
    <w:rsid w:val="00CD38E4"/>
    <w:rsid w:val="00CD4102"/>
    <w:rsid w:val="00CD4D85"/>
    <w:rsid w:val="00CD6833"/>
    <w:rsid w:val="00CD7A39"/>
    <w:rsid w:val="00CD7CB0"/>
    <w:rsid w:val="00CE1EDF"/>
    <w:rsid w:val="00CE3793"/>
    <w:rsid w:val="00CE4BB4"/>
    <w:rsid w:val="00CE65B5"/>
    <w:rsid w:val="00CE7118"/>
    <w:rsid w:val="00CF07E8"/>
    <w:rsid w:val="00CF21D1"/>
    <w:rsid w:val="00CF243B"/>
    <w:rsid w:val="00CF38FC"/>
    <w:rsid w:val="00CF453A"/>
    <w:rsid w:val="00CF488E"/>
    <w:rsid w:val="00CF4EE1"/>
    <w:rsid w:val="00CF68E0"/>
    <w:rsid w:val="00D01EE6"/>
    <w:rsid w:val="00D01FA4"/>
    <w:rsid w:val="00D0258E"/>
    <w:rsid w:val="00D026E3"/>
    <w:rsid w:val="00D04216"/>
    <w:rsid w:val="00D04505"/>
    <w:rsid w:val="00D04655"/>
    <w:rsid w:val="00D05D0A"/>
    <w:rsid w:val="00D05EAC"/>
    <w:rsid w:val="00D07058"/>
    <w:rsid w:val="00D10156"/>
    <w:rsid w:val="00D10CEE"/>
    <w:rsid w:val="00D1124B"/>
    <w:rsid w:val="00D13C43"/>
    <w:rsid w:val="00D1512F"/>
    <w:rsid w:val="00D15530"/>
    <w:rsid w:val="00D15DBC"/>
    <w:rsid w:val="00D15DED"/>
    <w:rsid w:val="00D15F65"/>
    <w:rsid w:val="00D1657A"/>
    <w:rsid w:val="00D1672D"/>
    <w:rsid w:val="00D16FBC"/>
    <w:rsid w:val="00D17EA1"/>
    <w:rsid w:val="00D20982"/>
    <w:rsid w:val="00D20E03"/>
    <w:rsid w:val="00D22FC0"/>
    <w:rsid w:val="00D26E2D"/>
    <w:rsid w:val="00D30236"/>
    <w:rsid w:val="00D302A1"/>
    <w:rsid w:val="00D302EB"/>
    <w:rsid w:val="00D33944"/>
    <w:rsid w:val="00D34566"/>
    <w:rsid w:val="00D35161"/>
    <w:rsid w:val="00D4042C"/>
    <w:rsid w:val="00D41297"/>
    <w:rsid w:val="00D41C2D"/>
    <w:rsid w:val="00D431DB"/>
    <w:rsid w:val="00D445C5"/>
    <w:rsid w:val="00D44FDF"/>
    <w:rsid w:val="00D4507B"/>
    <w:rsid w:val="00D461AB"/>
    <w:rsid w:val="00D47988"/>
    <w:rsid w:val="00D47A48"/>
    <w:rsid w:val="00D5423B"/>
    <w:rsid w:val="00D55D4D"/>
    <w:rsid w:val="00D56690"/>
    <w:rsid w:val="00D5670E"/>
    <w:rsid w:val="00D56CB2"/>
    <w:rsid w:val="00D56FB3"/>
    <w:rsid w:val="00D57023"/>
    <w:rsid w:val="00D570FF"/>
    <w:rsid w:val="00D604B7"/>
    <w:rsid w:val="00D60B90"/>
    <w:rsid w:val="00D6166E"/>
    <w:rsid w:val="00D624D4"/>
    <w:rsid w:val="00D62D7F"/>
    <w:rsid w:val="00D66107"/>
    <w:rsid w:val="00D701AF"/>
    <w:rsid w:val="00D703AC"/>
    <w:rsid w:val="00D71CD7"/>
    <w:rsid w:val="00D72065"/>
    <w:rsid w:val="00D72522"/>
    <w:rsid w:val="00D72BAF"/>
    <w:rsid w:val="00D73376"/>
    <w:rsid w:val="00D759E0"/>
    <w:rsid w:val="00D75F9E"/>
    <w:rsid w:val="00D75FE0"/>
    <w:rsid w:val="00D7603F"/>
    <w:rsid w:val="00D775E4"/>
    <w:rsid w:val="00D7798D"/>
    <w:rsid w:val="00D77D4D"/>
    <w:rsid w:val="00D807BE"/>
    <w:rsid w:val="00D80A3B"/>
    <w:rsid w:val="00D810D8"/>
    <w:rsid w:val="00D81BE1"/>
    <w:rsid w:val="00D8246C"/>
    <w:rsid w:val="00D84475"/>
    <w:rsid w:val="00D85340"/>
    <w:rsid w:val="00D859A4"/>
    <w:rsid w:val="00D85C4C"/>
    <w:rsid w:val="00D85CD2"/>
    <w:rsid w:val="00D85EA0"/>
    <w:rsid w:val="00D8600F"/>
    <w:rsid w:val="00D87A36"/>
    <w:rsid w:val="00D90FEA"/>
    <w:rsid w:val="00D9129B"/>
    <w:rsid w:val="00D915CE"/>
    <w:rsid w:val="00D926C8"/>
    <w:rsid w:val="00D92CAC"/>
    <w:rsid w:val="00D937D0"/>
    <w:rsid w:val="00D93C25"/>
    <w:rsid w:val="00D96D83"/>
    <w:rsid w:val="00DA05A1"/>
    <w:rsid w:val="00DA12DA"/>
    <w:rsid w:val="00DA2C8B"/>
    <w:rsid w:val="00DA41E1"/>
    <w:rsid w:val="00DA44BA"/>
    <w:rsid w:val="00DA5C53"/>
    <w:rsid w:val="00DA6144"/>
    <w:rsid w:val="00DA6210"/>
    <w:rsid w:val="00DB04F0"/>
    <w:rsid w:val="00DB0C88"/>
    <w:rsid w:val="00DB1497"/>
    <w:rsid w:val="00DB214A"/>
    <w:rsid w:val="00DB3786"/>
    <w:rsid w:val="00DB4EE6"/>
    <w:rsid w:val="00DB592C"/>
    <w:rsid w:val="00DB63EF"/>
    <w:rsid w:val="00DB7116"/>
    <w:rsid w:val="00DC08C3"/>
    <w:rsid w:val="00DC15B3"/>
    <w:rsid w:val="00DC269A"/>
    <w:rsid w:val="00DC2F99"/>
    <w:rsid w:val="00DC31E8"/>
    <w:rsid w:val="00DC7068"/>
    <w:rsid w:val="00DD0C56"/>
    <w:rsid w:val="00DD372D"/>
    <w:rsid w:val="00DD4BA2"/>
    <w:rsid w:val="00DD58C4"/>
    <w:rsid w:val="00DD5FA6"/>
    <w:rsid w:val="00DD6457"/>
    <w:rsid w:val="00DD6A7E"/>
    <w:rsid w:val="00DD7413"/>
    <w:rsid w:val="00DD7CFE"/>
    <w:rsid w:val="00DE1234"/>
    <w:rsid w:val="00DE1807"/>
    <w:rsid w:val="00DE3057"/>
    <w:rsid w:val="00DE30BC"/>
    <w:rsid w:val="00DE3D4E"/>
    <w:rsid w:val="00DE4765"/>
    <w:rsid w:val="00DE4B90"/>
    <w:rsid w:val="00DE4F5F"/>
    <w:rsid w:val="00DE5920"/>
    <w:rsid w:val="00DE6943"/>
    <w:rsid w:val="00DE6FB3"/>
    <w:rsid w:val="00DE73AA"/>
    <w:rsid w:val="00DF0171"/>
    <w:rsid w:val="00DF2C2F"/>
    <w:rsid w:val="00DF3103"/>
    <w:rsid w:val="00DF4056"/>
    <w:rsid w:val="00DF4876"/>
    <w:rsid w:val="00DF78FB"/>
    <w:rsid w:val="00DF7D18"/>
    <w:rsid w:val="00E01C29"/>
    <w:rsid w:val="00E048C7"/>
    <w:rsid w:val="00E069B6"/>
    <w:rsid w:val="00E10178"/>
    <w:rsid w:val="00E10EED"/>
    <w:rsid w:val="00E11C10"/>
    <w:rsid w:val="00E123F7"/>
    <w:rsid w:val="00E1478D"/>
    <w:rsid w:val="00E14E99"/>
    <w:rsid w:val="00E1501A"/>
    <w:rsid w:val="00E15DF0"/>
    <w:rsid w:val="00E16AC5"/>
    <w:rsid w:val="00E2074F"/>
    <w:rsid w:val="00E20811"/>
    <w:rsid w:val="00E20B52"/>
    <w:rsid w:val="00E21627"/>
    <w:rsid w:val="00E21983"/>
    <w:rsid w:val="00E22EF5"/>
    <w:rsid w:val="00E230EB"/>
    <w:rsid w:val="00E23943"/>
    <w:rsid w:val="00E23B24"/>
    <w:rsid w:val="00E261ED"/>
    <w:rsid w:val="00E26AD6"/>
    <w:rsid w:val="00E2797E"/>
    <w:rsid w:val="00E30F07"/>
    <w:rsid w:val="00E3158C"/>
    <w:rsid w:val="00E322A3"/>
    <w:rsid w:val="00E32531"/>
    <w:rsid w:val="00E3310B"/>
    <w:rsid w:val="00E33313"/>
    <w:rsid w:val="00E3342C"/>
    <w:rsid w:val="00E34BC7"/>
    <w:rsid w:val="00E34BF5"/>
    <w:rsid w:val="00E34CFA"/>
    <w:rsid w:val="00E36D97"/>
    <w:rsid w:val="00E37C6E"/>
    <w:rsid w:val="00E4052F"/>
    <w:rsid w:val="00E40CEE"/>
    <w:rsid w:val="00E44240"/>
    <w:rsid w:val="00E450C9"/>
    <w:rsid w:val="00E45B7E"/>
    <w:rsid w:val="00E55B7A"/>
    <w:rsid w:val="00E57B64"/>
    <w:rsid w:val="00E6049A"/>
    <w:rsid w:val="00E60EA1"/>
    <w:rsid w:val="00E60FBB"/>
    <w:rsid w:val="00E61196"/>
    <w:rsid w:val="00E6183A"/>
    <w:rsid w:val="00E62F36"/>
    <w:rsid w:val="00E65B52"/>
    <w:rsid w:val="00E65D44"/>
    <w:rsid w:val="00E66062"/>
    <w:rsid w:val="00E660D3"/>
    <w:rsid w:val="00E67758"/>
    <w:rsid w:val="00E70C2E"/>
    <w:rsid w:val="00E70F69"/>
    <w:rsid w:val="00E7315E"/>
    <w:rsid w:val="00E732B3"/>
    <w:rsid w:val="00E73768"/>
    <w:rsid w:val="00E73FD9"/>
    <w:rsid w:val="00E746F9"/>
    <w:rsid w:val="00E74938"/>
    <w:rsid w:val="00E752DF"/>
    <w:rsid w:val="00E80618"/>
    <w:rsid w:val="00E8173A"/>
    <w:rsid w:val="00E82FE7"/>
    <w:rsid w:val="00E83982"/>
    <w:rsid w:val="00E83B55"/>
    <w:rsid w:val="00E84358"/>
    <w:rsid w:val="00E84920"/>
    <w:rsid w:val="00E854B8"/>
    <w:rsid w:val="00E85883"/>
    <w:rsid w:val="00E86519"/>
    <w:rsid w:val="00E87B4B"/>
    <w:rsid w:val="00E92948"/>
    <w:rsid w:val="00E946F9"/>
    <w:rsid w:val="00E9478C"/>
    <w:rsid w:val="00E94E1B"/>
    <w:rsid w:val="00EA0547"/>
    <w:rsid w:val="00EA05ED"/>
    <w:rsid w:val="00EA0C49"/>
    <w:rsid w:val="00EA15E2"/>
    <w:rsid w:val="00EA3627"/>
    <w:rsid w:val="00EA462C"/>
    <w:rsid w:val="00EA552F"/>
    <w:rsid w:val="00EB16D9"/>
    <w:rsid w:val="00EB18AB"/>
    <w:rsid w:val="00EB2F91"/>
    <w:rsid w:val="00EB3364"/>
    <w:rsid w:val="00EB341B"/>
    <w:rsid w:val="00EB70F2"/>
    <w:rsid w:val="00EB7C3E"/>
    <w:rsid w:val="00EB7E7E"/>
    <w:rsid w:val="00EC01F3"/>
    <w:rsid w:val="00EC0779"/>
    <w:rsid w:val="00EC2420"/>
    <w:rsid w:val="00EC25DD"/>
    <w:rsid w:val="00EC286B"/>
    <w:rsid w:val="00EC427F"/>
    <w:rsid w:val="00EC470D"/>
    <w:rsid w:val="00EC4CD4"/>
    <w:rsid w:val="00EC57B1"/>
    <w:rsid w:val="00EC5B6C"/>
    <w:rsid w:val="00EC5DBD"/>
    <w:rsid w:val="00EC6B1A"/>
    <w:rsid w:val="00EC754F"/>
    <w:rsid w:val="00ED11FF"/>
    <w:rsid w:val="00ED15FD"/>
    <w:rsid w:val="00ED17C1"/>
    <w:rsid w:val="00ED3898"/>
    <w:rsid w:val="00ED52BC"/>
    <w:rsid w:val="00ED52DF"/>
    <w:rsid w:val="00ED54FB"/>
    <w:rsid w:val="00ED55AB"/>
    <w:rsid w:val="00ED6B35"/>
    <w:rsid w:val="00ED7D3F"/>
    <w:rsid w:val="00ED7E6C"/>
    <w:rsid w:val="00ED7FA3"/>
    <w:rsid w:val="00EE0668"/>
    <w:rsid w:val="00EE1064"/>
    <w:rsid w:val="00EE1C1C"/>
    <w:rsid w:val="00EE2A33"/>
    <w:rsid w:val="00EE3025"/>
    <w:rsid w:val="00EE4D07"/>
    <w:rsid w:val="00EF05DE"/>
    <w:rsid w:val="00EF1950"/>
    <w:rsid w:val="00EF19B5"/>
    <w:rsid w:val="00EF1D99"/>
    <w:rsid w:val="00EF2669"/>
    <w:rsid w:val="00EF52D8"/>
    <w:rsid w:val="00EF6AD2"/>
    <w:rsid w:val="00F009A2"/>
    <w:rsid w:val="00F00AF1"/>
    <w:rsid w:val="00F017BD"/>
    <w:rsid w:val="00F01F1D"/>
    <w:rsid w:val="00F02120"/>
    <w:rsid w:val="00F02470"/>
    <w:rsid w:val="00F04220"/>
    <w:rsid w:val="00F04890"/>
    <w:rsid w:val="00F04FAF"/>
    <w:rsid w:val="00F06D44"/>
    <w:rsid w:val="00F104C7"/>
    <w:rsid w:val="00F106D6"/>
    <w:rsid w:val="00F10B40"/>
    <w:rsid w:val="00F14DEE"/>
    <w:rsid w:val="00F1644D"/>
    <w:rsid w:val="00F173F3"/>
    <w:rsid w:val="00F17B3B"/>
    <w:rsid w:val="00F20B30"/>
    <w:rsid w:val="00F21015"/>
    <w:rsid w:val="00F2130E"/>
    <w:rsid w:val="00F23511"/>
    <w:rsid w:val="00F238E9"/>
    <w:rsid w:val="00F24A85"/>
    <w:rsid w:val="00F251EE"/>
    <w:rsid w:val="00F25231"/>
    <w:rsid w:val="00F261B3"/>
    <w:rsid w:val="00F2674E"/>
    <w:rsid w:val="00F27495"/>
    <w:rsid w:val="00F2779D"/>
    <w:rsid w:val="00F30111"/>
    <w:rsid w:val="00F34987"/>
    <w:rsid w:val="00F35072"/>
    <w:rsid w:val="00F355DF"/>
    <w:rsid w:val="00F359E3"/>
    <w:rsid w:val="00F35A65"/>
    <w:rsid w:val="00F361FF"/>
    <w:rsid w:val="00F36932"/>
    <w:rsid w:val="00F36B30"/>
    <w:rsid w:val="00F40548"/>
    <w:rsid w:val="00F40634"/>
    <w:rsid w:val="00F41C44"/>
    <w:rsid w:val="00F41D58"/>
    <w:rsid w:val="00F4219D"/>
    <w:rsid w:val="00F436AA"/>
    <w:rsid w:val="00F447AB"/>
    <w:rsid w:val="00F46DFD"/>
    <w:rsid w:val="00F470DB"/>
    <w:rsid w:val="00F47B7F"/>
    <w:rsid w:val="00F50565"/>
    <w:rsid w:val="00F50DDF"/>
    <w:rsid w:val="00F5254D"/>
    <w:rsid w:val="00F53D72"/>
    <w:rsid w:val="00F54014"/>
    <w:rsid w:val="00F55909"/>
    <w:rsid w:val="00F568FD"/>
    <w:rsid w:val="00F603D2"/>
    <w:rsid w:val="00F6052C"/>
    <w:rsid w:val="00F60982"/>
    <w:rsid w:val="00F61517"/>
    <w:rsid w:val="00F6175F"/>
    <w:rsid w:val="00F617BF"/>
    <w:rsid w:val="00F623D2"/>
    <w:rsid w:val="00F6574A"/>
    <w:rsid w:val="00F7018B"/>
    <w:rsid w:val="00F72BA4"/>
    <w:rsid w:val="00F73E32"/>
    <w:rsid w:val="00F73EAC"/>
    <w:rsid w:val="00F7529F"/>
    <w:rsid w:val="00F75560"/>
    <w:rsid w:val="00F75F13"/>
    <w:rsid w:val="00F7610C"/>
    <w:rsid w:val="00F77539"/>
    <w:rsid w:val="00F77957"/>
    <w:rsid w:val="00F77B42"/>
    <w:rsid w:val="00F800D6"/>
    <w:rsid w:val="00F80644"/>
    <w:rsid w:val="00F81E6A"/>
    <w:rsid w:val="00F81ED1"/>
    <w:rsid w:val="00F820DE"/>
    <w:rsid w:val="00F82ACA"/>
    <w:rsid w:val="00F82D38"/>
    <w:rsid w:val="00F84400"/>
    <w:rsid w:val="00F84C69"/>
    <w:rsid w:val="00F85738"/>
    <w:rsid w:val="00F85F64"/>
    <w:rsid w:val="00F8602E"/>
    <w:rsid w:val="00F8651D"/>
    <w:rsid w:val="00F86686"/>
    <w:rsid w:val="00F86859"/>
    <w:rsid w:val="00F86A1B"/>
    <w:rsid w:val="00F87168"/>
    <w:rsid w:val="00F93BE9"/>
    <w:rsid w:val="00F95F77"/>
    <w:rsid w:val="00F96E6E"/>
    <w:rsid w:val="00F96FF4"/>
    <w:rsid w:val="00F9708C"/>
    <w:rsid w:val="00F975BB"/>
    <w:rsid w:val="00FA1659"/>
    <w:rsid w:val="00FA1A5B"/>
    <w:rsid w:val="00FA2B66"/>
    <w:rsid w:val="00FA2DF2"/>
    <w:rsid w:val="00FA326A"/>
    <w:rsid w:val="00FA3F17"/>
    <w:rsid w:val="00FA4765"/>
    <w:rsid w:val="00FA5A9F"/>
    <w:rsid w:val="00FA6055"/>
    <w:rsid w:val="00FA6B37"/>
    <w:rsid w:val="00FA7999"/>
    <w:rsid w:val="00FB0D43"/>
    <w:rsid w:val="00FB27E1"/>
    <w:rsid w:val="00FB41FE"/>
    <w:rsid w:val="00FB441F"/>
    <w:rsid w:val="00FB4C50"/>
    <w:rsid w:val="00FB5960"/>
    <w:rsid w:val="00FB5AC9"/>
    <w:rsid w:val="00FB5D0D"/>
    <w:rsid w:val="00FB7615"/>
    <w:rsid w:val="00FB7E6A"/>
    <w:rsid w:val="00FC018E"/>
    <w:rsid w:val="00FC1878"/>
    <w:rsid w:val="00FC349D"/>
    <w:rsid w:val="00FC41A4"/>
    <w:rsid w:val="00FC6BE4"/>
    <w:rsid w:val="00FC71F2"/>
    <w:rsid w:val="00FC7889"/>
    <w:rsid w:val="00FD0419"/>
    <w:rsid w:val="00FD06BC"/>
    <w:rsid w:val="00FD3A5E"/>
    <w:rsid w:val="00FD55B1"/>
    <w:rsid w:val="00FD5A59"/>
    <w:rsid w:val="00FD5C6E"/>
    <w:rsid w:val="00FE1221"/>
    <w:rsid w:val="00FE135F"/>
    <w:rsid w:val="00FE2787"/>
    <w:rsid w:val="00FE2833"/>
    <w:rsid w:val="00FE2F6A"/>
    <w:rsid w:val="00FE42C7"/>
    <w:rsid w:val="00FE4CD4"/>
    <w:rsid w:val="00FE7165"/>
    <w:rsid w:val="00FE77B1"/>
    <w:rsid w:val="00FF0A5D"/>
    <w:rsid w:val="00FF2279"/>
    <w:rsid w:val="00FF3887"/>
    <w:rsid w:val="00FF4C36"/>
    <w:rsid w:val="00FF4D31"/>
    <w:rsid w:val="00FF5BE8"/>
    <w:rsid w:val="00FF6E84"/>
    <w:rsid w:val="010F0ADA"/>
    <w:rsid w:val="015E32B3"/>
    <w:rsid w:val="01882B51"/>
    <w:rsid w:val="01A5339F"/>
    <w:rsid w:val="025D30DC"/>
    <w:rsid w:val="026C16CA"/>
    <w:rsid w:val="029E28BF"/>
    <w:rsid w:val="02F13481"/>
    <w:rsid w:val="03004571"/>
    <w:rsid w:val="044E6E01"/>
    <w:rsid w:val="047A5175"/>
    <w:rsid w:val="04E07100"/>
    <w:rsid w:val="05217391"/>
    <w:rsid w:val="05B12584"/>
    <w:rsid w:val="05CD5658"/>
    <w:rsid w:val="061D47F7"/>
    <w:rsid w:val="06684E1B"/>
    <w:rsid w:val="066C24E9"/>
    <w:rsid w:val="07B028D9"/>
    <w:rsid w:val="07B04F04"/>
    <w:rsid w:val="07D03372"/>
    <w:rsid w:val="07D355E9"/>
    <w:rsid w:val="08CE3640"/>
    <w:rsid w:val="09127D7B"/>
    <w:rsid w:val="09777A41"/>
    <w:rsid w:val="098B6D9B"/>
    <w:rsid w:val="09A31943"/>
    <w:rsid w:val="09E70E58"/>
    <w:rsid w:val="09EB4BB9"/>
    <w:rsid w:val="0A1C1347"/>
    <w:rsid w:val="0A320BE2"/>
    <w:rsid w:val="0BB50F60"/>
    <w:rsid w:val="0C2363A9"/>
    <w:rsid w:val="0C802439"/>
    <w:rsid w:val="0CB414F9"/>
    <w:rsid w:val="0CCA741F"/>
    <w:rsid w:val="0CCC4093"/>
    <w:rsid w:val="0D557D35"/>
    <w:rsid w:val="0E7B7D1C"/>
    <w:rsid w:val="0ED072BA"/>
    <w:rsid w:val="0F063C8D"/>
    <w:rsid w:val="0F1F42BF"/>
    <w:rsid w:val="0F8B17A9"/>
    <w:rsid w:val="0FD93D66"/>
    <w:rsid w:val="0FEA7562"/>
    <w:rsid w:val="10055786"/>
    <w:rsid w:val="114F015B"/>
    <w:rsid w:val="126807A4"/>
    <w:rsid w:val="13B430B2"/>
    <w:rsid w:val="13CB5573"/>
    <w:rsid w:val="14004BC5"/>
    <w:rsid w:val="1424415F"/>
    <w:rsid w:val="14A25755"/>
    <w:rsid w:val="1511789E"/>
    <w:rsid w:val="15671C71"/>
    <w:rsid w:val="15B833AB"/>
    <w:rsid w:val="15FC572A"/>
    <w:rsid w:val="16FA22B6"/>
    <w:rsid w:val="16FB776F"/>
    <w:rsid w:val="1788577A"/>
    <w:rsid w:val="17DE3062"/>
    <w:rsid w:val="18100FC1"/>
    <w:rsid w:val="18164584"/>
    <w:rsid w:val="184B41F3"/>
    <w:rsid w:val="18FF10BA"/>
    <w:rsid w:val="19007AEA"/>
    <w:rsid w:val="1A5803ED"/>
    <w:rsid w:val="1A766A23"/>
    <w:rsid w:val="1A977DD1"/>
    <w:rsid w:val="1AC749BD"/>
    <w:rsid w:val="1B3E1EFB"/>
    <w:rsid w:val="1B565550"/>
    <w:rsid w:val="1BB862C2"/>
    <w:rsid w:val="1BFE0A16"/>
    <w:rsid w:val="1C6565DE"/>
    <w:rsid w:val="1C6F5160"/>
    <w:rsid w:val="1CD36E37"/>
    <w:rsid w:val="1CD90C15"/>
    <w:rsid w:val="1D0D08CC"/>
    <w:rsid w:val="1D6D5793"/>
    <w:rsid w:val="1D8E6022"/>
    <w:rsid w:val="1D9561B2"/>
    <w:rsid w:val="1D9D4638"/>
    <w:rsid w:val="1EC02114"/>
    <w:rsid w:val="207461AA"/>
    <w:rsid w:val="20796091"/>
    <w:rsid w:val="20BB2A96"/>
    <w:rsid w:val="20BD531C"/>
    <w:rsid w:val="20E1072C"/>
    <w:rsid w:val="20EF0FFF"/>
    <w:rsid w:val="211806CD"/>
    <w:rsid w:val="21813B82"/>
    <w:rsid w:val="228B5700"/>
    <w:rsid w:val="22907CF8"/>
    <w:rsid w:val="246602D2"/>
    <w:rsid w:val="24DA3EC0"/>
    <w:rsid w:val="255E651C"/>
    <w:rsid w:val="25B2466F"/>
    <w:rsid w:val="260962DB"/>
    <w:rsid w:val="268524F1"/>
    <w:rsid w:val="27CC7163"/>
    <w:rsid w:val="28B519E9"/>
    <w:rsid w:val="29AF1623"/>
    <w:rsid w:val="2AB459C7"/>
    <w:rsid w:val="2B573C8B"/>
    <w:rsid w:val="2BDD0684"/>
    <w:rsid w:val="2C890465"/>
    <w:rsid w:val="2CFD3A93"/>
    <w:rsid w:val="2D3B20E8"/>
    <w:rsid w:val="2D45052A"/>
    <w:rsid w:val="2D805E60"/>
    <w:rsid w:val="2DB1794A"/>
    <w:rsid w:val="2E475AF0"/>
    <w:rsid w:val="2ED70FA6"/>
    <w:rsid w:val="2F5832F1"/>
    <w:rsid w:val="2F7534E3"/>
    <w:rsid w:val="2FA078FC"/>
    <w:rsid w:val="3027029D"/>
    <w:rsid w:val="303E58D9"/>
    <w:rsid w:val="308F503E"/>
    <w:rsid w:val="30DF40D8"/>
    <w:rsid w:val="30E6494B"/>
    <w:rsid w:val="315F7E0B"/>
    <w:rsid w:val="31DC016A"/>
    <w:rsid w:val="32100897"/>
    <w:rsid w:val="32381CE3"/>
    <w:rsid w:val="32F364BB"/>
    <w:rsid w:val="33DA768C"/>
    <w:rsid w:val="345209A2"/>
    <w:rsid w:val="348F6883"/>
    <w:rsid w:val="34CF2544"/>
    <w:rsid w:val="34E86C20"/>
    <w:rsid w:val="35214BDF"/>
    <w:rsid w:val="35342866"/>
    <w:rsid w:val="35713DEF"/>
    <w:rsid w:val="3578586F"/>
    <w:rsid w:val="35E411BA"/>
    <w:rsid w:val="367B587B"/>
    <w:rsid w:val="3721020D"/>
    <w:rsid w:val="37E059F4"/>
    <w:rsid w:val="39407EE2"/>
    <w:rsid w:val="39623224"/>
    <w:rsid w:val="39D95415"/>
    <w:rsid w:val="3A774AD8"/>
    <w:rsid w:val="3AB36599"/>
    <w:rsid w:val="3B1148F8"/>
    <w:rsid w:val="3B8263F1"/>
    <w:rsid w:val="3BBF2573"/>
    <w:rsid w:val="3BFB61FD"/>
    <w:rsid w:val="3C1D473B"/>
    <w:rsid w:val="3D6032BD"/>
    <w:rsid w:val="3D605819"/>
    <w:rsid w:val="3DAD5B34"/>
    <w:rsid w:val="3E10794C"/>
    <w:rsid w:val="3E506CF0"/>
    <w:rsid w:val="3ED02806"/>
    <w:rsid w:val="3FDA4A80"/>
    <w:rsid w:val="3FE01ABB"/>
    <w:rsid w:val="3FE70DF5"/>
    <w:rsid w:val="409E2A7C"/>
    <w:rsid w:val="40A0727F"/>
    <w:rsid w:val="41C8460F"/>
    <w:rsid w:val="41D051C9"/>
    <w:rsid w:val="422D1517"/>
    <w:rsid w:val="42764A4D"/>
    <w:rsid w:val="42EB354E"/>
    <w:rsid w:val="43BA3DE1"/>
    <w:rsid w:val="43BB03BB"/>
    <w:rsid w:val="44A948D1"/>
    <w:rsid w:val="45215415"/>
    <w:rsid w:val="458C7FE5"/>
    <w:rsid w:val="458D220E"/>
    <w:rsid w:val="45B66172"/>
    <w:rsid w:val="46133F4D"/>
    <w:rsid w:val="461651D7"/>
    <w:rsid w:val="462659F2"/>
    <w:rsid w:val="46431356"/>
    <w:rsid w:val="46B36B09"/>
    <w:rsid w:val="46D67D70"/>
    <w:rsid w:val="46E7384D"/>
    <w:rsid w:val="47801680"/>
    <w:rsid w:val="47CF4CE4"/>
    <w:rsid w:val="47D10DB6"/>
    <w:rsid w:val="48290CBD"/>
    <w:rsid w:val="48AC4374"/>
    <w:rsid w:val="48C34E55"/>
    <w:rsid w:val="49422E8A"/>
    <w:rsid w:val="4A5148B3"/>
    <w:rsid w:val="4A575CC6"/>
    <w:rsid w:val="4A803E2F"/>
    <w:rsid w:val="4AB617A3"/>
    <w:rsid w:val="4AE4350E"/>
    <w:rsid w:val="4AE7691E"/>
    <w:rsid w:val="4B100B12"/>
    <w:rsid w:val="4CE2612A"/>
    <w:rsid w:val="4D334F86"/>
    <w:rsid w:val="4D3A3657"/>
    <w:rsid w:val="4DA13264"/>
    <w:rsid w:val="4DCD31BD"/>
    <w:rsid w:val="50BE45CC"/>
    <w:rsid w:val="510B6A80"/>
    <w:rsid w:val="52BF0232"/>
    <w:rsid w:val="53573B34"/>
    <w:rsid w:val="54F84B83"/>
    <w:rsid w:val="557954DB"/>
    <w:rsid w:val="55BC2B38"/>
    <w:rsid w:val="55E84075"/>
    <w:rsid w:val="55FF34F5"/>
    <w:rsid w:val="561F33DB"/>
    <w:rsid w:val="563A4B41"/>
    <w:rsid w:val="563B618B"/>
    <w:rsid w:val="56857D0A"/>
    <w:rsid w:val="56F61BBA"/>
    <w:rsid w:val="573F4617"/>
    <w:rsid w:val="588662AD"/>
    <w:rsid w:val="58D15747"/>
    <w:rsid w:val="58F4050A"/>
    <w:rsid w:val="599C6C60"/>
    <w:rsid w:val="59F93547"/>
    <w:rsid w:val="5A3A2E0A"/>
    <w:rsid w:val="5A6C42F0"/>
    <w:rsid w:val="5A885122"/>
    <w:rsid w:val="5A8F0BC6"/>
    <w:rsid w:val="5AD90953"/>
    <w:rsid w:val="5AE92975"/>
    <w:rsid w:val="5B1058D6"/>
    <w:rsid w:val="5B232AF7"/>
    <w:rsid w:val="5B3F020F"/>
    <w:rsid w:val="5BB2002B"/>
    <w:rsid w:val="5BC218D0"/>
    <w:rsid w:val="5C8A7324"/>
    <w:rsid w:val="5CE6677F"/>
    <w:rsid w:val="5D336EFD"/>
    <w:rsid w:val="5E157A39"/>
    <w:rsid w:val="5EC108B2"/>
    <w:rsid w:val="5F1022C1"/>
    <w:rsid w:val="5FE237DF"/>
    <w:rsid w:val="5FE3054D"/>
    <w:rsid w:val="605303EE"/>
    <w:rsid w:val="6073549B"/>
    <w:rsid w:val="60A56F6E"/>
    <w:rsid w:val="62DD7983"/>
    <w:rsid w:val="63A605CC"/>
    <w:rsid w:val="640F228A"/>
    <w:rsid w:val="641F5039"/>
    <w:rsid w:val="643B6688"/>
    <w:rsid w:val="648A3E46"/>
    <w:rsid w:val="64964173"/>
    <w:rsid w:val="64C97921"/>
    <w:rsid w:val="64F165EA"/>
    <w:rsid w:val="65C80D57"/>
    <w:rsid w:val="65F64858"/>
    <w:rsid w:val="66341936"/>
    <w:rsid w:val="680A1B35"/>
    <w:rsid w:val="68B579C1"/>
    <w:rsid w:val="69060872"/>
    <w:rsid w:val="69B66515"/>
    <w:rsid w:val="69D22866"/>
    <w:rsid w:val="6A3C7093"/>
    <w:rsid w:val="6A66278B"/>
    <w:rsid w:val="6B4D21AE"/>
    <w:rsid w:val="6B4E1950"/>
    <w:rsid w:val="6C140583"/>
    <w:rsid w:val="6C2E6949"/>
    <w:rsid w:val="6CB26BED"/>
    <w:rsid w:val="6CC229D7"/>
    <w:rsid w:val="6CF806F0"/>
    <w:rsid w:val="6D0B6489"/>
    <w:rsid w:val="6D1367A5"/>
    <w:rsid w:val="6D562E54"/>
    <w:rsid w:val="6DB7447F"/>
    <w:rsid w:val="6DE54CC3"/>
    <w:rsid w:val="6E6D3F55"/>
    <w:rsid w:val="6E7727FB"/>
    <w:rsid w:val="6E7E4569"/>
    <w:rsid w:val="6EF867C0"/>
    <w:rsid w:val="6F6B4A8F"/>
    <w:rsid w:val="70011022"/>
    <w:rsid w:val="700804C9"/>
    <w:rsid w:val="70173C27"/>
    <w:rsid w:val="705A6893"/>
    <w:rsid w:val="70B8246A"/>
    <w:rsid w:val="71222317"/>
    <w:rsid w:val="72105EC2"/>
    <w:rsid w:val="728130A1"/>
    <w:rsid w:val="72A44BDE"/>
    <w:rsid w:val="7345435B"/>
    <w:rsid w:val="736E4CE3"/>
    <w:rsid w:val="739B02A7"/>
    <w:rsid w:val="739B078C"/>
    <w:rsid w:val="73E43F3D"/>
    <w:rsid w:val="73FE62C0"/>
    <w:rsid w:val="74642CB5"/>
    <w:rsid w:val="74C3684A"/>
    <w:rsid w:val="74D848FF"/>
    <w:rsid w:val="75D22234"/>
    <w:rsid w:val="75FF71BA"/>
    <w:rsid w:val="760B0D3E"/>
    <w:rsid w:val="76297E75"/>
    <w:rsid w:val="763F34F3"/>
    <w:rsid w:val="76DA57D8"/>
    <w:rsid w:val="77627168"/>
    <w:rsid w:val="780451D7"/>
    <w:rsid w:val="783E3177"/>
    <w:rsid w:val="788F6137"/>
    <w:rsid w:val="78F3752E"/>
    <w:rsid w:val="79631095"/>
    <w:rsid w:val="7A411F99"/>
    <w:rsid w:val="7AA300CF"/>
    <w:rsid w:val="7AEA4455"/>
    <w:rsid w:val="7B28692B"/>
    <w:rsid w:val="7B8154FA"/>
    <w:rsid w:val="7BD511A5"/>
    <w:rsid w:val="7C217E19"/>
    <w:rsid w:val="7C531CE1"/>
    <w:rsid w:val="7D35364F"/>
    <w:rsid w:val="7D6C61F0"/>
    <w:rsid w:val="7DAC3261"/>
    <w:rsid w:val="7DEE51E4"/>
    <w:rsid w:val="7E2A42A9"/>
    <w:rsid w:val="7E9064B6"/>
    <w:rsid w:val="7EE80F94"/>
    <w:rsid w:val="7F236AC7"/>
    <w:rsid w:val="7F4430DE"/>
    <w:rsid w:val="7FB02260"/>
    <w:rsid w:val="7FF5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Times New Roman" w:hAnsi="Times New Roman" w:eastAsia="仿宋_GB2312" w:cs="Times New Roman"/>
      <w:color w:val="000000"/>
      <w:kern w:val="2"/>
      <w:sz w:val="32"/>
      <w:szCs w:val="24"/>
      <w:lang w:val="en-US" w:eastAsia="zh-CN" w:bidi="ar-SA"/>
    </w:rPr>
  </w:style>
  <w:style w:type="paragraph" w:styleId="2">
    <w:name w:val="heading 1"/>
    <w:basedOn w:val="1"/>
    <w:next w:val="1"/>
    <w:link w:val="25"/>
    <w:qFormat/>
    <w:uiPriority w:val="9"/>
    <w:pPr>
      <w:keepNext/>
      <w:keepLines/>
      <w:spacing w:before="340" w:after="330" w:line="578" w:lineRule="auto"/>
      <w:ind w:firstLine="274" w:firstLineChars="62"/>
      <w:outlineLvl w:val="0"/>
    </w:pPr>
    <w:rPr>
      <w:rFonts w:eastAsia="宋体"/>
      <w:b/>
      <w:bCs/>
      <w:kern w:val="44"/>
      <w:sz w:val="44"/>
      <w:szCs w:val="44"/>
    </w:rPr>
  </w:style>
  <w:style w:type="paragraph" w:styleId="3">
    <w:name w:val="heading 2"/>
    <w:basedOn w:val="1"/>
    <w:next w:val="1"/>
    <w:link w:val="26"/>
    <w:unhideWhenUsed/>
    <w:qFormat/>
    <w:uiPriority w:val="9"/>
    <w:pPr>
      <w:keepNext/>
      <w:keepLines/>
      <w:spacing w:before="260" w:after="260" w:line="416" w:lineRule="auto"/>
      <w:ind w:firstLine="238" w:firstLineChars="66"/>
      <w:outlineLvl w:val="1"/>
    </w:pPr>
    <w:rPr>
      <w:rFonts w:eastAsia="黑体" w:cstheme="majorBidi"/>
      <w:bCs/>
      <w:sz w:val="36"/>
      <w:szCs w:val="36"/>
    </w:rPr>
  </w:style>
  <w:style w:type="paragraph" w:styleId="4">
    <w:name w:val="heading 3"/>
    <w:basedOn w:val="1"/>
    <w:next w:val="1"/>
    <w:link w:val="27"/>
    <w:qFormat/>
    <w:uiPriority w:val="9"/>
    <w:pPr>
      <w:snapToGrid w:val="0"/>
      <w:spacing w:before="312" w:beforeLines="100" w:after="312" w:afterLines="100"/>
      <w:contextualSpacing/>
      <w:jc w:val="left"/>
      <w:outlineLvl w:val="2"/>
    </w:pPr>
    <w:rPr>
      <w:rFonts w:ascii="黑体" w:hAnsi="黑体" w:eastAsia="黑体" w:cs="黑体"/>
      <w:kern w:val="0"/>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semiHidden/>
    <w:qFormat/>
    <w:uiPriority w:val="99"/>
    <w:pPr>
      <w:ind w:firstLine="0" w:firstLineChars="0"/>
      <w:jc w:val="left"/>
    </w:pPr>
    <w:rPr>
      <w:rFonts w:ascii="Calibri" w:hAnsi="Calibri" w:eastAsiaTheme="minorEastAsia"/>
      <w:sz w:val="24"/>
    </w:rPr>
  </w:style>
  <w:style w:type="paragraph" w:styleId="6">
    <w:name w:val="Body Text"/>
    <w:basedOn w:val="1"/>
    <w:link w:val="41"/>
    <w:semiHidden/>
    <w:unhideWhenUsed/>
    <w:qFormat/>
    <w:uiPriority w:val="99"/>
    <w:pPr>
      <w:spacing w:after="120"/>
    </w:pPr>
  </w:style>
  <w:style w:type="paragraph" w:styleId="7">
    <w:name w:val="Body Text Indent"/>
    <w:basedOn w:val="1"/>
    <w:link w:val="29"/>
    <w:semiHidden/>
    <w:unhideWhenUsed/>
    <w:qFormat/>
    <w:uiPriority w:val="99"/>
    <w:pPr>
      <w:spacing w:after="120"/>
      <w:ind w:left="420" w:leftChars="200"/>
    </w:pPr>
  </w:style>
  <w:style w:type="paragraph" w:styleId="8">
    <w:name w:val="toc 3"/>
    <w:basedOn w:val="1"/>
    <w:next w:val="1"/>
    <w:unhideWhenUsed/>
    <w:qFormat/>
    <w:uiPriority w:val="39"/>
    <w:pPr>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tabs>
        <w:tab w:val="right" w:leader="dot" w:pos="8296"/>
      </w:tabs>
      <w:adjustRightInd w:val="0"/>
      <w:spacing w:line="240" w:lineRule="auto"/>
      <w:ind w:right="320" w:rightChars="100"/>
    </w:pPr>
  </w:style>
  <w:style w:type="paragraph" w:styleId="13">
    <w:name w:val="toc 2"/>
    <w:basedOn w:val="1"/>
    <w:next w:val="1"/>
    <w:unhideWhenUsed/>
    <w:qFormat/>
    <w:uiPriority w:val="39"/>
    <w:pPr>
      <w:tabs>
        <w:tab w:val="right" w:leader="dot" w:pos="8296"/>
      </w:tabs>
      <w:adjustRightInd w:val="0"/>
      <w:ind w:firstLine="0" w:firstLineChars="0"/>
    </w:pPr>
  </w:style>
  <w:style w:type="paragraph" w:styleId="14">
    <w:name w:val="Normal (Web)"/>
    <w:basedOn w:val="1"/>
    <w:qFormat/>
    <w:uiPriority w:val="0"/>
    <w:pPr>
      <w:widowControl/>
      <w:ind w:firstLine="0" w:firstLineChars="0"/>
      <w:jc w:val="left"/>
    </w:pPr>
    <w:rPr>
      <w:rFonts w:ascii="宋体" w:hAnsi="宋体" w:cs="宋体" w:eastAsiaTheme="minorEastAsia"/>
      <w:kern w:val="0"/>
      <w:sz w:val="24"/>
    </w:rPr>
  </w:style>
  <w:style w:type="paragraph" w:styleId="15">
    <w:name w:val="annotation subject"/>
    <w:basedOn w:val="5"/>
    <w:next w:val="5"/>
    <w:link w:val="46"/>
    <w:semiHidden/>
    <w:unhideWhenUsed/>
    <w:qFormat/>
    <w:uiPriority w:val="99"/>
    <w:pPr>
      <w:ind w:firstLine="640" w:firstLineChars="200"/>
    </w:pPr>
    <w:rPr>
      <w:rFonts w:ascii="Times New Roman" w:hAnsi="Times New Roman" w:eastAsia="仿宋_GB2312"/>
      <w:b/>
      <w:bCs/>
      <w:sz w:val="32"/>
    </w:rPr>
  </w:style>
  <w:style w:type="paragraph" w:styleId="16">
    <w:name w:val="Body Text First Indent 2"/>
    <w:basedOn w:val="7"/>
    <w:link w:val="30"/>
    <w:semiHidden/>
    <w:unhideWhenUsed/>
    <w:qFormat/>
    <w:uiPriority w:val="99"/>
    <w:pPr>
      <w:ind w:firstLine="420"/>
    </w:p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1"/>
    <w:qFormat/>
    <w:uiPriority w:val="99"/>
    <w:rPr>
      <w:sz w:val="18"/>
      <w:szCs w:val="18"/>
    </w:rPr>
  </w:style>
  <w:style w:type="character" w:customStyle="1" w:styleId="23">
    <w:name w:val="页脚 字符"/>
    <w:basedOn w:val="18"/>
    <w:link w:val="10"/>
    <w:qFormat/>
    <w:uiPriority w:val="99"/>
    <w:rPr>
      <w:sz w:val="18"/>
      <w:szCs w:val="18"/>
    </w:rPr>
  </w:style>
  <w:style w:type="paragraph" w:styleId="24">
    <w:name w:val="List Paragraph"/>
    <w:basedOn w:val="1"/>
    <w:qFormat/>
    <w:uiPriority w:val="34"/>
    <w:pPr>
      <w:ind w:firstLine="420"/>
    </w:pPr>
    <w:rPr>
      <w:rFonts w:ascii="Calibri" w:hAnsi="Calibri" w:eastAsia="宋体"/>
    </w:rPr>
  </w:style>
  <w:style w:type="character" w:customStyle="1" w:styleId="25">
    <w:name w:val="标题 1 字符"/>
    <w:basedOn w:val="18"/>
    <w:link w:val="2"/>
    <w:qFormat/>
    <w:uiPriority w:val="9"/>
    <w:rPr>
      <w:rFonts w:ascii="Times New Roman" w:hAnsi="Times New Roman" w:eastAsia="宋体" w:cs="Times New Roman"/>
      <w:b/>
      <w:bCs/>
      <w:kern w:val="44"/>
      <w:sz w:val="44"/>
      <w:szCs w:val="44"/>
    </w:rPr>
  </w:style>
  <w:style w:type="character" w:customStyle="1" w:styleId="26">
    <w:name w:val="标题 2 字符"/>
    <w:basedOn w:val="18"/>
    <w:link w:val="3"/>
    <w:qFormat/>
    <w:uiPriority w:val="9"/>
    <w:rPr>
      <w:rFonts w:ascii="Times New Roman" w:hAnsi="Times New Roman" w:eastAsia="黑体" w:cstheme="majorBidi"/>
      <w:bCs/>
      <w:color w:val="000000"/>
      <w:kern w:val="2"/>
      <w:sz w:val="36"/>
      <w:szCs w:val="36"/>
    </w:rPr>
  </w:style>
  <w:style w:type="character" w:customStyle="1" w:styleId="27">
    <w:name w:val="标题 3 字符"/>
    <w:basedOn w:val="18"/>
    <w:link w:val="4"/>
    <w:qFormat/>
    <w:uiPriority w:val="9"/>
    <w:rPr>
      <w:rFonts w:ascii="黑体" w:hAnsi="黑体" w:eastAsia="黑体" w:cs="黑体"/>
      <w:kern w:val="0"/>
      <w:sz w:val="32"/>
      <w:szCs w:val="32"/>
    </w:rPr>
  </w:style>
  <w:style w:type="paragraph" w:customStyle="1" w:styleId="28">
    <w:name w:val="_Style 12"/>
    <w:basedOn w:val="7"/>
    <w:next w:val="16"/>
    <w:qFormat/>
    <w:uiPriority w:val="0"/>
    <w:pPr>
      <w:ind w:firstLine="420"/>
      <w:contextualSpacing/>
    </w:pPr>
    <w:rPr>
      <w:rFonts w:ascii="楷体_GB2312" w:hAnsi="宋体" w:eastAsia="宋体"/>
      <w:kern w:val="0"/>
      <w:sz w:val="24"/>
      <w:szCs w:val="28"/>
    </w:rPr>
  </w:style>
  <w:style w:type="character" w:customStyle="1" w:styleId="29">
    <w:name w:val="正文文本缩进 字符"/>
    <w:basedOn w:val="18"/>
    <w:link w:val="7"/>
    <w:semiHidden/>
    <w:qFormat/>
    <w:uiPriority w:val="99"/>
    <w:rPr>
      <w:rFonts w:ascii="Times New Roman" w:hAnsi="Times New Roman" w:eastAsia="仿宋_GB2312" w:cs="Times New Roman"/>
      <w:sz w:val="30"/>
    </w:rPr>
  </w:style>
  <w:style w:type="character" w:customStyle="1" w:styleId="30">
    <w:name w:val="正文文本首行缩进 2 字符"/>
    <w:basedOn w:val="29"/>
    <w:link w:val="16"/>
    <w:semiHidden/>
    <w:qFormat/>
    <w:uiPriority w:val="99"/>
    <w:rPr>
      <w:rFonts w:ascii="Times New Roman" w:hAnsi="Times New Roman" w:eastAsia="仿宋_GB2312" w:cs="Times New Roman"/>
      <w:sz w:val="30"/>
    </w:rPr>
  </w:style>
  <w:style w:type="character" w:customStyle="1" w:styleId="31">
    <w:name w:val="apple-style-span"/>
    <w:basedOn w:val="18"/>
    <w:qFormat/>
    <w:uiPriority w:val="0"/>
  </w:style>
  <w:style w:type="character" w:customStyle="1" w:styleId="32">
    <w:name w:val="批注框文本 字符"/>
    <w:basedOn w:val="18"/>
    <w:link w:val="9"/>
    <w:semiHidden/>
    <w:qFormat/>
    <w:uiPriority w:val="99"/>
    <w:rPr>
      <w:rFonts w:ascii="Times New Roman" w:hAnsi="Times New Roman" w:eastAsia="仿宋_GB2312" w:cs="Times New Roman"/>
      <w:sz w:val="18"/>
      <w:szCs w:val="18"/>
    </w:rPr>
  </w:style>
  <w:style w:type="paragraph" w:styleId="33">
    <w:name w:val="No Spacing"/>
    <w:qFormat/>
    <w:uiPriority w:val="1"/>
    <w:pPr>
      <w:widowControl w:val="0"/>
      <w:ind w:firstLine="200" w:firstLineChars="200"/>
      <w:jc w:val="both"/>
    </w:pPr>
    <w:rPr>
      <w:rFonts w:ascii="Times New Roman" w:hAnsi="Times New Roman" w:eastAsia="仿宋_GB2312" w:cs="Times New Roman"/>
      <w:kern w:val="2"/>
      <w:sz w:val="28"/>
      <w:szCs w:val="22"/>
      <w:lang w:val="en-US" w:eastAsia="zh-CN" w:bidi="ar-SA"/>
    </w:rPr>
  </w:style>
  <w:style w:type="paragraph" w:customStyle="1" w:styleId="34">
    <w:name w:val="reader-word-layer"/>
    <w:basedOn w:val="1"/>
    <w:qFormat/>
    <w:uiPriority w:val="0"/>
    <w:pPr>
      <w:widowControl/>
      <w:spacing w:before="100" w:beforeAutospacing="1" w:after="100" w:afterAutospacing="1"/>
      <w:ind w:firstLine="0" w:firstLineChars="0"/>
      <w:jc w:val="left"/>
    </w:pPr>
    <w:rPr>
      <w:rFonts w:ascii="宋体" w:hAnsi="宋体" w:eastAsia="宋体" w:cs="宋体"/>
      <w:kern w:val="0"/>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批注文字 字符"/>
    <w:link w:val="5"/>
    <w:semiHidden/>
    <w:qFormat/>
    <w:locked/>
    <w:uiPriority w:val="99"/>
    <w:rPr>
      <w:rFonts w:ascii="Calibri" w:hAnsi="Calibri" w:cs="Times New Roman"/>
      <w:sz w:val="24"/>
      <w:szCs w:val="24"/>
    </w:rPr>
  </w:style>
  <w:style w:type="character" w:customStyle="1" w:styleId="37">
    <w:name w:val="批注文字 字符1"/>
    <w:basedOn w:val="18"/>
    <w:semiHidden/>
    <w:qFormat/>
    <w:uiPriority w:val="99"/>
    <w:rPr>
      <w:rFonts w:ascii="Times New Roman" w:hAnsi="Times New Roman" w:eastAsia="仿宋_GB2312" w:cs="Times New Roman"/>
      <w:sz w:val="28"/>
    </w:rPr>
  </w:style>
  <w:style w:type="paragraph" w:customStyle="1" w:styleId="38">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1">
    <w:name w:val="正文文本 字符"/>
    <w:basedOn w:val="18"/>
    <w:link w:val="6"/>
    <w:semiHidden/>
    <w:qFormat/>
    <w:uiPriority w:val="99"/>
    <w:rPr>
      <w:rFonts w:ascii="Times New Roman" w:hAnsi="Times New Roman" w:eastAsia="仿宋_GB2312" w:cs="Times New Roman"/>
      <w:color w:val="000000"/>
      <w:sz w:val="32"/>
      <w:szCs w:val="24"/>
    </w:rPr>
  </w:style>
  <w:style w:type="paragraph" w:customStyle="1" w:styleId="42">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3">
    <w:name w:val="党政正文"/>
    <w:link w:val="44"/>
    <w:qFormat/>
    <w:uiPriority w:val="0"/>
    <w:pPr>
      <w:spacing w:line="360" w:lineRule="auto"/>
      <w:ind w:firstLine="200" w:firstLineChars="200"/>
      <w:jc w:val="both"/>
    </w:pPr>
    <w:rPr>
      <w:rFonts w:ascii="Times New Roman" w:hAnsi="Times New Roman" w:eastAsia="仿宋_GB2312" w:cs="Times New Roman"/>
      <w:color w:val="000000"/>
      <w:kern w:val="2"/>
      <w:sz w:val="32"/>
      <w:szCs w:val="24"/>
      <w:lang w:val="en-US" w:eastAsia="zh-CN" w:bidi="ar-SA"/>
    </w:rPr>
  </w:style>
  <w:style w:type="character" w:customStyle="1" w:styleId="44">
    <w:name w:val="党政正文 字符"/>
    <w:basedOn w:val="18"/>
    <w:link w:val="43"/>
    <w:qFormat/>
    <w:uiPriority w:val="0"/>
    <w:rPr>
      <w:rFonts w:ascii="Times New Roman" w:hAnsi="Times New Roman" w:eastAsia="仿宋_GB2312" w:cs="Times New Roman"/>
      <w:color w:val="000000"/>
      <w:kern w:val="2"/>
      <w:sz w:val="32"/>
      <w:szCs w:val="24"/>
    </w:rPr>
  </w:style>
  <w:style w:type="paragraph" w:customStyle="1" w:styleId="45">
    <w:name w:val="TOC 标题2"/>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6">
    <w:name w:val="批注主题 字符"/>
    <w:basedOn w:val="36"/>
    <w:link w:val="15"/>
    <w:semiHidden/>
    <w:qFormat/>
    <w:uiPriority w:val="99"/>
    <w:rPr>
      <w:rFonts w:ascii="Times New Roman" w:hAnsi="Times New Roman" w:eastAsia="仿宋_GB2312" w:cs="Times New Roman"/>
      <w:b/>
      <w:bCs/>
      <w:color w:val="000000"/>
      <w:kern w:val="2"/>
      <w:sz w:val="32"/>
      <w:szCs w:val="24"/>
    </w:rPr>
  </w:style>
  <w:style w:type="character" w:styleId="47">
    <w:name w:val="Placeholder Text"/>
    <w:basedOn w:val="18"/>
    <w:semiHidden/>
    <w:qFormat/>
    <w:uiPriority w:val="99"/>
    <w:rPr>
      <w:color w:val="808080"/>
    </w:rPr>
  </w:style>
  <w:style w:type="paragraph" w:customStyle="1" w:styleId="48">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819E-8427-4D20-BF17-CD3336E117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29588</Words>
  <Characters>30653</Characters>
  <Lines>243</Lines>
  <Paragraphs>68</Paragraphs>
  <TotalTime>27</TotalTime>
  <ScaleCrop>false</ScaleCrop>
  <LinksUpToDate>false</LinksUpToDate>
  <CharactersWithSpaces>30870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2021-01-13T03:12:00Z</dcterms:created>
  <dc:creator>lhl</dc:creator>
  <cp:lastModifiedBy>WPS_1642163686</cp:lastModifiedBy>
  <dcterms:modified xsi:type="dcterms:W3CDTF">2023-01-13T08:57:49Z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F5FCA189C445496999312AF2FDA5DE7F</vt:lpwstr>
  </property>
</Properties>
</file>