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b/>
          <w:sz w:val="44"/>
          <w:szCs w:val="44"/>
        </w:rPr>
      </w:pPr>
      <w:r>
        <w:rPr>
          <w:rFonts w:hint="eastAsia" w:ascii="宋体" w:hAnsi="宋体" w:eastAsia="宋体"/>
          <w:b/>
          <w:sz w:val="44"/>
          <w:szCs w:val="44"/>
        </w:rPr>
        <w:t>大冶市公共资源交易中心</w:t>
      </w:r>
    </w:p>
    <w:p>
      <w:pPr>
        <w:spacing w:line="560" w:lineRule="exact"/>
        <w:jc w:val="center"/>
        <w:rPr>
          <w:rFonts w:ascii="宋体" w:hAnsi="宋体" w:eastAsia="宋体"/>
          <w:b/>
          <w:sz w:val="44"/>
          <w:szCs w:val="44"/>
        </w:rPr>
      </w:pPr>
      <w:r>
        <w:rPr>
          <w:rFonts w:hint="eastAsia" w:ascii="宋体" w:hAnsi="宋体" w:eastAsia="宋体"/>
          <w:b/>
          <w:sz w:val="44"/>
          <w:szCs w:val="44"/>
        </w:rPr>
        <w:t>2020年部门整体绩效自评报告</w:t>
      </w:r>
    </w:p>
    <w:p>
      <w:pPr>
        <w:spacing w:line="560" w:lineRule="exact"/>
        <w:jc w:val="left"/>
        <w:rPr>
          <w:rFonts w:ascii="仿宋_GB2312" w:hAnsi="楷体" w:eastAsia="仿宋_GB2312"/>
          <w:sz w:val="32"/>
          <w:szCs w:val="32"/>
        </w:rPr>
      </w:pPr>
      <w:r>
        <w:rPr>
          <w:rFonts w:hint="eastAsia" w:ascii="仿宋_GB2312" w:hAnsi="楷体" w:eastAsia="仿宋_GB2312"/>
          <w:sz w:val="32"/>
          <w:szCs w:val="32"/>
        </w:rPr>
        <w:t xml:space="preserve">   </w:t>
      </w:r>
    </w:p>
    <w:p>
      <w:pPr>
        <w:spacing w:line="560" w:lineRule="exact"/>
        <w:ind w:firstLine="614" w:firstLineChars="192"/>
        <w:rPr>
          <w:rFonts w:ascii="黑体" w:hAnsi="Calibri" w:eastAsia="黑体" w:cs="Times New Roman"/>
          <w:sz w:val="32"/>
          <w:szCs w:val="32"/>
        </w:rPr>
      </w:pPr>
      <w:r>
        <w:rPr>
          <w:rFonts w:ascii="黑体" w:hAnsi="Calibri" w:eastAsia="黑体" w:cs="Times New Roman"/>
          <w:sz w:val="32"/>
          <w:szCs w:val="32"/>
        </w:rPr>
        <w:t>一、部门</w:t>
      </w:r>
      <w:r>
        <w:rPr>
          <w:rFonts w:hint="eastAsia" w:ascii="黑体" w:hAnsi="Calibri" w:eastAsia="黑体" w:cs="Times New Roman"/>
          <w:sz w:val="32"/>
          <w:szCs w:val="32"/>
        </w:rPr>
        <w:t>概况</w:t>
      </w:r>
      <w:r>
        <w:rPr>
          <w:rFonts w:ascii="黑体" w:hAnsi="Calibri" w:eastAsia="黑体" w:cs="Times New Roman"/>
          <w:sz w:val="32"/>
          <w:szCs w:val="32"/>
        </w:rPr>
        <w:t xml:space="preserve"> </w:t>
      </w:r>
    </w:p>
    <w:p>
      <w:pPr>
        <w:spacing w:line="56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（一）部门基本情况</w:t>
      </w:r>
    </w:p>
    <w:p>
      <w:pPr>
        <w:spacing w:line="56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1、机构人员构成。</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2019年4月机构改革，根据冶办文</w:t>
      </w:r>
      <w:r>
        <w:rPr>
          <w:rFonts w:hint="eastAsia" w:ascii="宋体" w:hAnsi="宋体" w:eastAsia="宋体" w:cs="宋体"/>
          <w:sz w:val="32"/>
          <w:szCs w:val="32"/>
        </w:rPr>
        <w:t>﹝</w:t>
      </w:r>
      <w:r>
        <w:rPr>
          <w:rFonts w:hint="eastAsia" w:ascii="仿宋_GB2312" w:hAnsi="楷体" w:eastAsia="仿宋_GB2312"/>
          <w:sz w:val="32"/>
          <w:szCs w:val="32"/>
        </w:rPr>
        <w:t>2019</w:t>
      </w:r>
      <w:r>
        <w:rPr>
          <w:rFonts w:hint="eastAsia" w:ascii="宋体" w:hAnsi="宋体" w:eastAsia="宋体" w:cs="宋体"/>
          <w:sz w:val="32"/>
          <w:szCs w:val="32"/>
        </w:rPr>
        <w:t>﹞</w:t>
      </w:r>
      <w:r>
        <w:rPr>
          <w:rFonts w:hint="eastAsia" w:ascii="仿宋_GB2312" w:hAnsi="楷体" w:eastAsia="仿宋_GB2312"/>
          <w:sz w:val="32"/>
          <w:szCs w:val="32"/>
        </w:rPr>
        <w:t>60号文件，市公共资源交易中心为市政府直属正科级事业单位，公益一类，加挂市政府采购中心牌子。目前中心实有编制数27名，采购股、信息股、综合交易股、招标股、办公室五个股科室，共计在职在岗人员27名。</w:t>
      </w:r>
    </w:p>
    <w:p>
      <w:pPr>
        <w:spacing w:line="56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2、单位主要职能。</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（1）负责贯彻落实公共资源交易流程和规章制度。</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（2）负责为工程建设招标投标等公共资源交易活动提供服务。</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（3）负责组织实施政府采购，国有资产转让，土地使用权、探矿权和采矿权招标、拍卖、挂牌等公共资源交易工作。</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（4）负责公共资源交易信息发布。</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（5）负责公共资源电子招标投标交易平台建设和规范运作，指导公共资源电子招标投标交易平台的使用和维护；</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（6）负责向相关部门报告公共资源交易中发现的违法违纪行为并协助调查。</w:t>
      </w:r>
    </w:p>
    <w:p>
      <w:pPr>
        <w:spacing w:line="56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 xml:space="preserve">（二）年度总体工作和重点工作任务。 </w:t>
      </w:r>
    </w:p>
    <w:p>
      <w:pPr>
        <w:spacing w:line="560" w:lineRule="exact"/>
        <w:ind w:firstLine="614" w:firstLineChars="192"/>
        <w:rPr>
          <w:rFonts w:ascii="仿宋_GB2312" w:hAnsi="楷体" w:eastAsia="仿宋_GB2312"/>
          <w:sz w:val="32"/>
          <w:szCs w:val="32"/>
        </w:rPr>
      </w:pPr>
      <w:r>
        <w:rPr>
          <w:rFonts w:hint="eastAsia" w:ascii="仿宋_GB2312" w:hAnsi="楷体" w:eastAsia="仿宋_GB2312"/>
          <w:sz w:val="32"/>
          <w:szCs w:val="32"/>
        </w:rPr>
        <w:t>2020年以来，在市委、市政府的正确领导下，市公共资源交易中心党组以十九大精神和习近平新时代中国特色社会主义思想为指引，围绕抓机关建设、抓规范运行和服务全市大局三个方面开展工作，职工向心力、社会关注度和群众满意度得到显著提升，特别是在“不忘初心、牢记使命”主题教育活动中得到积极肯定，主要成效如下：</w:t>
      </w:r>
    </w:p>
    <w:p>
      <w:pPr>
        <w:spacing w:line="560" w:lineRule="exact"/>
        <w:ind w:firstLine="614" w:firstLineChars="192"/>
        <w:rPr>
          <w:rFonts w:ascii="仿宋_GB2312" w:hAnsi="楷体" w:eastAsia="仿宋_GB2312"/>
          <w:sz w:val="32"/>
          <w:szCs w:val="32"/>
        </w:rPr>
      </w:pPr>
      <w:r>
        <w:rPr>
          <w:rFonts w:hint="eastAsia" w:ascii="仿宋_GB2312" w:hAnsi="楷体" w:eastAsia="仿宋_GB2312"/>
          <w:sz w:val="32"/>
          <w:szCs w:val="32"/>
        </w:rPr>
        <w:t>推进公共资源交易系统数据对接和互联互通，所有交易信息在市政府网、黄石市公共资源交易网和湖北省公共资源交易网同步发布，确保交易项目阳光透明。全年累计推送各类公告公示1439条，网办率达到100％。推进公共资源交易系统更新，对工程建设类通用招标文件示范文本等7类范本进行升级，确保各类工程建设项目能匹配到合适的文件范本。投入</w:t>
      </w:r>
      <w:r>
        <w:rPr>
          <w:rFonts w:ascii="仿宋_GB2312" w:hAnsi="楷体" w:eastAsia="仿宋_GB2312"/>
          <w:sz w:val="32"/>
          <w:szCs w:val="32"/>
        </w:rPr>
        <w:t>12</w:t>
      </w:r>
      <w:r>
        <w:rPr>
          <w:rFonts w:hint="eastAsia" w:ascii="仿宋_GB2312" w:hAnsi="楷体" w:eastAsia="仿宋_GB2312"/>
          <w:sz w:val="32"/>
          <w:szCs w:val="32"/>
        </w:rPr>
        <w:t>万元升级改造国有建设用地使用权出让系统，确保国土交易活动安全稳定。全年我中心共受理进场项目545个，成交总额87.84亿元，增节资额1.25亿元。其中工程建设进场项目58个，成交金额67.38亿元，节资额3739.62万元；政府采购进场项目451个，成交金额5.38亿元，节资额3368.61万元，其中政府集中采购项目43个，成交金额3341.35万元，节资额180.59万元；国有建设用地使用权出让项目36宗地，成交金额15.09亿元，增收总额5440.00万元。</w:t>
      </w:r>
    </w:p>
    <w:p>
      <w:pPr>
        <w:spacing w:line="560" w:lineRule="exact"/>
        <w:ind w:firstLine="614" w:firstLineChars="192"/>
        <w:rPr>
          <w:rFonts w:ascii="黑体" w:hAnsi="Calibri" w:eastAsia="黑体" w:cs="Times New Roman"/>
          <w:sz w:val="32"/>
          <w:szCs w:val="32"/>
        </w:rPr>
      </w:pPr>
      <w:r>
        <w:rPr>
          <w:rFonts w:hint="eastAsia" w:ascii="黑体" w:hAnsi="Calibri" w:eastAsia="黑体" w:cs="Times New Roman"/>
          <w:sz w:val="32"/>
          <w:szCs w:val="32"/>
        </w:rPr>
        <w:t>二、</w:t>
      </w:r>
      <w:r>
        <w:rPr>
          <w:rFonts w:ascii="黑体" w:hAnsi="Calibri" w:eastAsia="黑体" w:cs="Times New Roman"/>
          <w:sz w:val="32"/>
          <w:szCs w:val="32"/>
        </w:rPr>
        <w:t>部门整体</w:t>
      </w:r>
      <w:r>
        <w:rPr>
          <w:rFonts w:hint="eastAsia" w:ascii="黑体" w:hAnsi="Calibri" w:eastAsia="黑体" w:cs="Times New Roman"/>
          <w:sz w:val="32"/>
          <w:szCs w:val="32"/>
        </w:rPr>
        <w:t>管理及使用情况</w:t>
      </w:r>
      <w:r>
        <w:rPr>
          <w:rFonts w:ascii="黑体" w:hAnsi="Calibri" w:eastAsia="黑体" w:cs="Times New Roman"/>
          <w:sz w:val="32"/>
          <w:szCs w:val="32"/>
        </w:rPr>
        <w:t xml:space="preserve"> </w:t>
      </w:r>
    </w:p>
    <w:p>
      <w:pPr>
        <w:spacing w:line="56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1、基本支出。</w:t>
      </w:r>
    </w:p>
    <w:p>
      <w:pPr>
        <w:snapToGrid w:val="0"/>
        <w:spacing w:line="560" w:lineRule="exact"/>
        <w:ind w:firstLine="640" w:firstLineChars="200"/>
        <w:rPr>
          <w:rFonts w:ascii="仿宋" w:hAnsi="仿宋" w:eastAsia="仿宋" w:cs="Arial"/>
          <w:sz w:val="32"/>
          <w:szCs w:val="32"/>
        </w:rPr>
      </w:pPr>
      <w:r>
        <w:rPr>
          <w:rFonts w:hint="eastAsia" w:ascii="仿宋" w:hAnsi="仿宋" w:eastAsia="仿宋" w:cs="Arial"/>
          <w:sz w:val="32"/>
          <w:szCs w:val="32"/>
        </w:rPr>
        <w:t>2020年财政拨款基本支出457.05万元：人员支出413.56万元，日常公用支出43.49万元。基本支出主要用于保障本单位各部门、机构正常运转及日常工作任务而发生的支出，包括工资福利支出、商品和服务支出。</w:t>
      </w:r>
    </w:p>
    <w:p>
      <w:pPr>
        <w:spacing w:line="56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2、项目支出。</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2020年财政拨款项目支出，即其他公共资源交易支出153.5万元，其中电子平台远程异地评标建设维护费11.3万元，用于推广远程异地评标系统的运用；电子交易平台服务器租赁及平台运行费45万元，用于公共资源交易平台服务器租赁及运行维护；专家评审劳务费36万元，用于支付专家评标评审费用；国有工业用地出让挂牌主持人费用10.7万元，用于支付代理业招拍挂佣金；公共资源交易业务宣传费22万元，用于支付公共资源交易业务宣传费用；2.0端口升级费用14.4万元，用于支付2.0数据推送表结构调整、推送字段优化和前置机升级费用；国土资源网上交易系统软件更换及移动云租赁专项14.1万元，用于支付我市国土资源网上交易系统软件更换升级及运行维护费用。</w:t>
      </w:r>
    </w:p>
    <w:p>
      <w:pPr>
        <w:spacing w:line="560" w:lineRule="exact"/>
        <w:ind w:firstLine="643" w:firstLineChars="200"/>
        <w:rPr>
          <w:rFonts w:ascii="仿宋_GB2312" w:hAnsi="楷体" w:eastAsia="仿宋_GB2312"/>
          <w:sz w:val="32"/>
          <w:szCs w:val="32"/>
        </w:rPr>
      </w:pPr>
      <w:r>
        <w:rPr>
          <w:rFonts w:hint="eastAsia" w:ascii="仿宋_GB2312" w:hAnsi="楷体" w:eastAsia="仿宋_GB2312"/>
          <w:b/>
          <w:sz w:val="32"/>
          <w:szCs w:val="32"/>
        </w:rPr>
        <w:t>3、“三公”经费支出</w:t>
      </w:r>
      <w:r>
        <w:rPr>
          <w:rFonts w:hint="eastAsia" w:ascii="仿宋_GB2312" w:hAnsi="楷体" w:eastAsia="仿宋_GB2312"/>
          <w:sz w:val="32"/>
          <w:szCs w:val="32"/>
        </w:rPr>
        <w:t>。</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2020年“三公”经费预算1万元，决算0.14万元，节约“三公”经费0.86万元；“三公”经费全部为国内接待费。</w:t>
      </w:r>
    </w:p>
    <w:p>
      <w:pPr>
        <w:spacing w:line="560" w:lineRule="exact"/>
        <w:ind w:firstLine="640" w:firstLineChars="200"/>
        <w:rPr>
          <w:rFonts w:ascii="黑体" w:hAnsi="Calibri" w:eastAsia="黑体" w:cs="Times New Roman"/>
          <w:sz w:val="32"/>
          <w:szCs w:val="32"/>
        </w:rPr>
      </w:pPr>
      <w:r>
        <w:rPr>
          <w:rFonts w:hint="eastAsia" w:ascii="黑体" w:hAnsi="Calibri" w:eastAsia="黑体" w:cs="Times New Roman"/>
          <w:sz w:val="32"/>
          <w:szCs w:val="32"/>
        </w:rPr>
        <w:t>三、</w:t>
      </w:r>
      <w:r>
        <w:rPr>
          <w:rFonts w:ascii="黑体" w:hAnsi="Calibri" w:eastAsia="黑体" w:cs="Times New Roman"/>
          <w:sz w:val="32"/>
          <w:szCs w:val="32"/>
        </w:rPr>
        <w:t>部门整体</w:t>
      </w:r>
      <w:r>
        <w:rPr>
          <w:rFonts w:hint="eastAsia" w:ascii="黑体" w:hAnsi="Calibri" w:eastAsia="黑体" w:cs="Times New Roman"/>
          <w:sz w:val="32"/>
          <w:szCs w:val="32"/>
        </w:rPr>
        <w:t>绩效</w:t>
      </w:r>
      <w:r>
        <w:rPr>
          <w:rFonts w:ascii="黑体" w:hAnsi="Calibri" w:eastAsia="黑体" w:cs="Times New Roman"/>
          <w:sz w:val="32"/>
          <w:szCs w:val="32"/>
        </w:rPr>
        <w:t>情况</w:t>
      </w:r>
    </w:p>
    <w:p>
      <w:pPr>
        <w:spacing w:line="56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（一）部门整体目标实现程度及使用绩效。</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1、产出指标完成情况分析。2020年全年市公共资源交易中心共完成进场交易项目</w:t>
      </w:r>
      <w:r>
        <w:rPr>
          <w:rFonts w:ascii="仿宋_GB2312" w:hAnsi="楷体" w:eastAsia="仿宋_GB2312"/>
          <w:sz w:val="32"/>
          <w:szCs w:val="32"/>
        </w:rPr>
        <w:t>5</w:t>
      </w:r>
      <w:r>
        <w:rPr>
          <w:rFonts w:hint="eastAsia" w:ascii="仿宋_GB2312" w:hAnsi="楷体" w:eastAsia="仿宋_GB2312"/>
          <w:sz w:val="32"/>
          <w:szCs w:val="32"/>
        </w:rPr>
        <w:t>45个，交易总额87.84亿元，增节资金1.25亿元。交易流程符合公共资源交易法律法规规定，政府采购质疑按时答复率100%。</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2、效益指标完成情况分析。进场交易项目</w:t>
      </w:r>
      <w:r>
        <w:rPr>
          <w:rFonts w:ascii="仿宋_GB2312" w:hAnsi="楷体" w:eastAsia="仿宋_GB2312"/>
          <w:sz w:val="32"/>
          <w:szCs w:val="32"/>
        </w:rPr>
        <w:t>5</w:t>
      </w:r>
      <w:r>
        <w:rPr>
          <w:rFonts w:hint="eastAsia" w:ascii="仿宋_GB2312" w:hAnsi="楷体" w:eastAsia="仿宋_GB2312"/>
          <w:sz w:val="32"/>
          <w:szCs w:val="32"/>
        </w:rPr>
        <w:t>个工作日内限时办结，限时办结率</w:t>
      </w:r>
      <w:r>
        <w:rPr>
          <w:rFonts w:ascii="仿宋_GB2312" w:hAnsi="楷体" w:eastAsia="仿宋_GB2312"/>
          <w:sz w:val="32"/>
          <w:szCs w:val="32"/>
        </w:rPr>
        <w:t>100%</w:t>
      </w:r>
      <w:r>
        <w:rPr>
          <w:rFonts w:hint="eastAsia" w:ascii="仿宋_GB2312" w:hAnsi="楷体" w:eastAsia="仿宋_GB2312"/>
          <w:sz w:val="32"/>
          <w:szCs w:val="32"/>
        </w:rPr>
        <w:t>，并完成上缴财政非税收入任务178万元。促进全省公共资源交易信息互通，减少招标文件及投标文件的纸质制作，达到节约纸张环保节能，推动公共资源交易电子化发展。</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3、满意度指标完成情况分析。社会公众对公共资源交易业务满意度98%。</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我中心</w:t>
      </w:r>
      <w:r>
        <w:rPr>
          <w:rFonts w:ascii="仿宋_GB2312" w:hAnsi="楷体" w:eastAsia="仿宋_GB2312"/>
          <w:sz w:val="32"/>
          <w:szCs w:val="32"/>
        </w:rPr>
        <w:t>20</w:t>
      </w:r>
      <w:r>
        <w:rPr>
          <w:rFonts w:hint="eastAsia" w:ascii="仿宋_GB2312" w:hAnsi="楷体" w:eastAsia="仿宋_GB2312"/>
          <w:sz w:val="32"/>
          <w:szCs w:val="32"/>
        </w:rPr>
        <w:t>20年度公共资源交易支出项目中，项目支出用途合规，符合财务纪律和制度，所有项目支出由我中心领导审核同意，报市财政局领导审批核实，由市财政局预算科审批拨付，无违规情况，资金使用管理合理，达到了预期的总体要求。</w:t>
      </w:r>
    </w:p>
    <w:p>
      <w:pPr>
        <w:spacing w:line="56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（二）自评结论。</w:t>
      </w:r>
    </w:p>
    <w:p>
      <w:pPr>
        <w:spacing w:line="560" w:lineRule="exact"/>
        <w:ind w:firstLine="614" w:firstLineChars="192"/>
        <w:rPr>
          <w:rFonts w:ascii="仿宋_GB2312" w:hAnsi="楷体" w:eastAsia="仿宋_GB2312"/>
          <w:sz w:val="32"/>
          <w:szCs w:val="32"/>
        </w:rPr>
      </w:pPr>
      <w:r>
        <w:rPr>
          <w:rFonts w:hint="eastAsia" w:ascii="仿宋_GB2312" w:hAnsi="Calibri" w:eastAsia="仿宋_GB2312" w:cs="Times New Roman"/>
          <w:bCs/>
          <w:sz w:val="32"/>
          <w:szCs w:val="32"/>
        </w:rPr>
        <w:t>我中心自评等次</w:t>
      </w:r>
      <w:r>
        <w:rPr>
          <w:rFonts w:ascii="仿宋_GB2312" w:hAnsi="Calibri" w:eastAsia="仿宋_GB2312" w:cs="Times New Roman"/>
          <w:bCs/>
          <w:sz w:val="32"/>
          <w:szCs w:val="32"/>
        </w:rPr>
        <w:t>:</w:t>
      </w:r>
      <w:r>
        <w:rPr>
          <w:rFonts w:hint="eastAsia" w:ascii="仿宋_GB2312" w:hAnsi="Calibri" w:eastAsia="仿宋_GB2312" w:cs="Times New Roman"/>
          <w:bCs/>
          <w:sz w:val="32"/>
          <w:szCs w:val="32"/>
        </w:rPr>
        <w:t>优秀，自评得分为</w:t>
      </w:r>
      <w:r>
        <w:rPr>
          <w:rFonts w:ascii="仿宋_GB2312" w:hAnsi="Calibri" w:eastAsia="仿宋_GB2312" w:cs="Times New Roman"/>
          <w:bCs/>
          <w:sz w:val="32"/>
          <w:szCs w:val="32"/>
        </w:rPr>
        <w:t>98</w:t>
      </w:r>
      <w:r>
        <w:rPr>
          <w:rFonts w:hint="eastAsia" w:ascii="仿宋_GB2312" w:hAnsi="Calibri" w:eastAsia="仿宋_GB2312" w:cs="Times New Roman"/>
          <w:bCs/>
          <w:sz w:val="32"/>
          <w:szCs w:val="32"/>
        </w:rPr>
        <w:t>分。</w:t>
      </w:r>
      <w:bookmarkStart w:id="0" w:name="_GoBack"/>
      <w:bookmarkEnd w:id="0"/>
      <w:r>
        <w:rPr>
          <w:rFonts w:hint="eastAsia" w:ascii="仿宋_GB2312" w:hAnsi="Calibri" w:eastAsia="仿宋_GB2312" w:cs="Times New Roman"/>
          <w:bCs/>
          <w:sz w:val="32"/>
          <w:szCs w:val="32"/>
        </w:rPr>
        <w:t>按照“谁评价、谁公开”的原则，所有评价报告统一在市政府门户网站公开公示，接受社会公众监督。</w:t>
      </w:r>
    </w:p>
    <w:p>
      <w:pPr>
        <w:spacing w:line="560" w:lineRule="exact"/>
        <w:ind w:firstLine="614" w:firstLineChars="192"/>
        <w:rPr>
          <w:rFonts w:ascii="黑体" w:hAnsi="Calibri" w:eastAsia="黑体" w:cs="Times New Roman"/>
          <w:sz w:val="32"/>
          <w:szCs w:val="32"/>
        </w:rPr>
      </w:pPr>
      <w:r>
        <w:rPr>
          <w:rFonts w:hint="eastAsia" w:ascii="黑体" w:hAnsi="Calibri" w:eastAsia="黑体" w:cs="Times New Roman"/>
          <w:sz w:val="32"/>
          <w:szCs w:val="32"/>
        </w:rPr>
        <w:t>四、</w:t>
      </w:r>
      <w:r>
        <w:rPr>
          <w:rFonts w:ascii="黑体" w:hAnsi="Calibri" w:eastAsia="黑体" w:cs="Times New Roman"/>
          <w:sz w:val="32"/>
          <w:szCs w:val="32"/>
        </w:rPr>
        <w:t>存在</w:t>
      </w:r>
      <w:r>
        <w:rPr>
          <w:rFonts w:hint="eastAsia" w:ascii="黑体" w:hAnsi="Calibri" w:eastAsia="黑体" w:cs="Times New Roman"/>
          <w:sz w:val="32"/>
          <w:szCs w:val="32"/>
        </w:rPr>
        <w:t>的</w:t>
      </w:r>
      <w:r>
        <w:rPr>
          <w:rFonts w:ascii="黑体" w:hAnsi="Calibri" w:eastAsia="黑体" w:cs="Times New Roman"/>
          <w:sz w:val="32"/>
          <w:szCs w:val="32"/>
        </w:rPr>
        <w:t>问题及</w:t>
      </w:r>
      <w:r>
        <w:rPr>
          <w:rFonts w:hint="eastAsia" w:ascii="黑体" w:hAnsi="Calibri" w:eastAsia="黑体" w:cs="Times New Roman"/>
          <w:sz w:val="32"/>
          <w:szCs w:val="32"/>
        </w:rPr>
        <w:t>原因</w:t>
      </w:r>
      <w:r>
        <w:rPr>
          <w:rFonts w:ascii="黑体" w:hAnsi="Calibri" w:eastAsia="黑体" w:cs="Times New Roman"/>
          <w:sz w:val="32"/>
          <w:szCs w:val="32"/>
        </w:rPr>
        <w:t>。</w:t>
      </w:r>
    </w:p>
    <w:p>
      <w:pPr>
        <w:spacing w:line="560" w:lineRule="exact"/>
        <w:ind w:firstLine="614" w:firstLineChars="192"/>
        <w:rPr>
          <w:rFonts w:ascii="仿宋_GB2312" w:hAnsi="Calibri" w:eastAsia="仿宋_GB2312" w:cs="Times New Roman"/>
          <w:bCs/>
          <w:sz w:val="32"/>
          <w:szCs w:val="32"/>
        </w:rPr>
      </w:pPr>
      <w:r>
        <w:rPr>
          <w:rFonts w:hint="eastAsia" w:ascii="仿宋_GB2312" w:hAnsi="Calibri" w:eastAsia="仿宋_GB2312" w:cs="Times New Roman"/>
          <w:bCs/>
          <w:sz w:val="32"/>
          <w:szCs w:val="32"/>
        </w:rPr>
        <w:t>1、财政部门是分配财政资金的职能部门，虽然具体花钱的是其他政府职能部门，绩效预算能否做好，不是财政一家的事，凡是使用财政资金的部门都得重视。这里最重要的是要有从社会公共利益出发的立场。</w:t>
      </w:r>
    </w:p>
    <w:p>
      <w:pPr>
        <w:spacing w:line="560" w:lineRule="exact"/>
        <w:ind w:firstLine="614" w:firstLineChars="192"/>
        <w:rPr>
          <w:rFonts w:ascii="仿宋_GB2312" w:hAnsi="Calibri" w:eastAsia="仿宋_GB2312" w:cs="Times New Roman"/>
          <w:sz w:val="32"/>
          <w:szCs w:val="32"/>
        </w:rPr>
      </w:pPr>
      <w:r>
        <w:rPr>
          <w:rFonts w:hint="eastAsia" w:ascii="仿宋_GB2312" w:hAnsi="Calibri" w:eastAsia="仿宋_GB2312" w:cs="Times New Roman"/>
          <w:bCs/>
          <w:sz w:val="32"/>
          <w:szCs w:val="32"/>
        </w:rPr>
        <w:t>2、目前评价工作基本由基层财务人员完成，专业性不强，缺乏绩效管理工作的基础。</w:t>
      </w:r>
    </w:p>
    <w:p>
      <w:pPr>
        <w:spacing w:line="560" w:lineRule="exact"/>
        <w:ind w:firstLine="614" w:firstLineChars="192"/>
        <w:rPr>
          <w:rFonts w:ascii="黑体" w:hAnsi="Calibri" w:eastAsia="黑体" w:cs="Times New Roman"/>
          <w:sz w:val="32"/>
          <w:szCs w:val="32"/>
        </w:rPr>
      </w:pPr>
      <w:r>
        <w:rPr>
          <w:rFonts w:hint="eastAsia" w:ascii="黑体" w:hAnsi="Calibri" w:eastAsia="黑体" w:cs="Times New Roman"/>
          <w:sz w:val="32"/>
          <w:szCs w:val="32"/>
        </w:rPr>
        <w:t>五、提高财政资金绩效的措施与建议</w:t>
      </w:r>
    </w:p>
    <w:p>
      <w:pPr>
        <w:spacing w:line="560" w:lineRule="exact"/>
        <w:ind w:firstLine="640" w:firstLineChars="200"/>
        <w:rPr>
          <w:rFonts w:ascii="仿宋_GB2312" w:hAnsi="Calibri" w:eastAsia="仿宋_GB2312" w:cs="Times New Roman"/>
          <w:bCs/>
          <w:sz w:val="32"/>
          <w:szCs w:val="32"/>
        </w:rPr>
      </w:pPr>
      <w:r>
        <w:rPr>
          <w:rFonts w:hint="eastAsia" w:ascii="仿宋_GB2312" w:hAnsi="Calibri" w:eastAsia="仿宋_GB2312" w:cs="Times New Roman"/>
          <w:bCs/>
          <w:sz w:val="32"/>
          <w:szCs w:val="32"/>
        </w:rPr>
        <w:t>1、建议财政部门多组织专业培训，强调预算绩效管理的重要性。</w:t>
      </w:r>
    </w:p>
    <w:p>
      <w:pPr>
        <w:spacing w:line="560" w:lineRule="exact"/>
        <w:ind w:firstLine="640" w:firstLineChars="200"/>
        <w:rPr>
          <w:rFonts w:ascii="仿宋_GB2312" w:hAnsi="Calibri" w:eastAsia="仿宋_GB2312" w:cs="Times New Roman"/>
          <w:bCs/>
          <w:sz w:val="32"/>
          <w:szCs w:val="32"/>
        </w:rPr>
      </w:pPr>
      <w:r>
        <w:rPr>
          <w:rFonts w:hint="eastAsia" w:ascii="仿宋_GB2312" w:hAnsi="Calibri" w:eastAsia="仿宋_GB2312" w:cs="Times New Roman"/>
          <w:bCs/>
          <w:sz w:val="32"/>
          <w:szCs w:val="32"/>
        </w:rPr>
        <w:t>2、建立第三方评价机构，可由各单位绩效管理工作交予第三方机构评价，才能做到专业、公正、公开。</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bCs/>
          <w:sz w:val="32"/>
          <w:szCs w:val="32"/>
        </w:rPr>
        <w:t>3、以全面实施预算绩效管理为关键点和突破口，推动财政资金聚力增效，提高公共服务供给质量，增强政府公信力和执行力。</w:t>
      </w:r>
    </w:p>
    <w:p>
      <w:pPr>
        <w:spacing w:line="560" w:lineRule="exact"/>
        <w:ind w:firstLine="614" w:firstLineChars="192"/>
        <w:rPr>
          <w:rFonts w:ascii="黑体" w:hAnsi="Calibri" w:eastAsia="黑体" w:cs="Times New Roman"/>
          <w:sz w:val="32"/>
          <w:szCs w:val="32"/>
        </w:rPr>
      </w:pPr>
      <w:r>
        <w:rPr>
          <w:rFonts w:hint="eastAsia" w:ascii="黑体" w:hAnsi="Calibri" w:eastAsia="黑体" w:cs="Times New Roman"/>
          <w:sz w:val="32"/>
          <w:szCs w:val="32"/>
        </w:rPr>
        <w:t>六</w:t>
      </w:r>
      <w:r>
        <w:rPr>
          <w:rFonts w:ascii="黑体" w:hAnsi="Calibri" w:eastAsia="黑体" w:cs="Times New Roman"/>
          <w:sz w:val="32"/>
          <w:szCs w:val="32"/>
        </w:rPr>
        <w:t>、其他</w:t>
      </w:r>
      <w:r>
        <w:rPr>
          <w:rFonts w:hint="eastAsia" w:ascii="黑体" w:hAnsi="Calibri" w:eastAsia="黑体" w:cs="Times New Roman"/>
          <w:sz w:val="32"/>
          <w:szCs w:val="32"/>
        </w:rPr>
        <w:t>需要说明的问题</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无。</w:t>
      </w:r>
    </w:p>
    <w:p>
      <w:pPr>
        <w:spacing w:line="56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 xml:space="preserve"> </w:t>
      </w:r>
    </w:p>
    <w:p>
      <w:pPr>
        <w:spacing w:line="560" w:lineRule="exact"/>
        <w:ind w:firstLine="643" w:firstLineChars="200"/>
        <w:rPr>
          <w:rFonts w:ascii="仿宋_GB2312" w:hAnsi="楷体" w:eastAsia="仿宋_GB2312"/>
          <w:b/>
          <w:sz w:val="32"/>
          <w:szCs w:val="32"/>
        </w:rPr>
      </w:pPr>
    </w:p>
    <w:p>
      <w:pPr>
        <w:spacing w:line="560" w:lineRule="exact"/>
        <w:ind w:firstLine="4640" w:firstLineChars="1450"/>
        <w:rPr>
          <w:rFonts w:ascii="仿宋_GB2312" w:hAnsi="楷体" w:eastAsia="仿宋_GB2312"/>
          <w:bCs/>
          <w:sz w:val="32"/>
          <w:szCs w:val="32"/>
        </w:rPr>
      </w:pPr>
      <w:r>
        <w:rPr>
          <w:rFonts w:hint="eastAsia" w:ascii="仿宋_GB2312" w:hAnsi="楷体" w:eastAsia="仿宋_GB2312"/>
          <w:bCs/>
          <w:sz w:val="32"/>
          <w:szCs w:val="32"/>
        </w:rPr>
        <w:t>大冶市公共资源交易中心</w:t>
      </w:r>
    </w:p>
    <w:p>
      <w:pPr>
        <w:spacing w:line="560" w:lineRule="exact"/>
        <w:ind w:firstLine="5600" w:firstLineChars="1750"/>
        <w:rPr>
          <w:rFonts w:ascii="仿宋_GB2312" w:hAnsi="楷体" w:eastAsia="仿宋_GB2312"/>
          <w:b/>
          <w:sz w:val="32"/>
          <w:szCs w:val="32"/>
        </w:rPr>
      </w:pPr>
      <w:r>
        <w:rPr>
          <w:rFonts w:hint="eastAsia" w:ascii="仿宋_GB2312" w:hAnsi="楷体" w:eastAsia="仿宋_GB2312"/>
          <w:bCs/>
          <w:sz w:val="32"/>
          <w:szCs w:val="32"/>
        </w:rPr>
        <w:t>2021年7月20日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04347"/>
    <w:rsid w:val="00005840"/>
    <w:rsid w:val="00031CBC"/>
    <w:rsid w:val="0003461B"/>
    <w:rsid w:val="00050D7E"/>
    <w:rsid w:val="000808F8"/>
    <w:rsid w:val="00081EA6"/>
    <w:rsid w:val="000D3837"/>
    <w:rsid w:val="000E6F8A"/>
    <w:rsid w:val="00106348"/>
    <w:rsid w:val="00107431"/>
    <w:rsid w:val="0011158E"/>
    <w:rsid w:val="00123269"/>
    <w:rsid w:val="00147069"/>
    <w:rsid w:val="001A466D"/>
    <w:rsid w:val="001C04F0"/>
    <w:rsid w:val="001E525A"/>
    <w:rsid w:val="001F47C8"/>
    <w:rsid w:val="00200B21"/>
    <w:rsid w:val="00206F6A"/>
    <w:rsid w:val="00260DD4"/>
    <w:rsid w:val="002D6A9C"/>
    <w:rsid w:val="00303120"/>
    <w:rsid w:val="00347DD5"/>
    <w:rsid w:val="003706A4"/>
    <w:rsid w:val="0037365A"/>
    <w:rsid w:val="00375EE1"/>
    <w:rsid w:val="00380C8B"/>
    <w:rsid w:val="003811E6"/>
    <w:rsid w:val="003A222B"/>
    <w:rsid w:val="003A6B27"/>
    <w:rsid w:val="003A79C0"/>
    <w:rsid w:val="003C0B12"/>
    <w:rsid w:val="003C5276"/>
    <w:rsid w:val="003D1F9D"/>
    <w:rsid w:val="003E4EF2"/>
    <w:rsid w:val="00402F90"/>
    <w:rsid w:val="004B5E16"/>
    <w:rsid w:val="004C2DCE"/>
    <w:rsid w:val="004D38F1"/>
    <w:rsid w:val="004D4C0D"/>
    <w:rsid w:val="005140DA"/>
    <w:rsid w:val="00522C4F"/>
    <w:rsid w:val="00530380"/>
    <w:rsid w:val="005D262C"/>
    <w:rsid w:val="00625BEB"/>
    <w:rsid w:val="00630E53"/>
    <w:rsid w:val="00643095"/>
    <w:rsid w:val="00662BB1"/>
    <w:rsid w:val="00663F33"/>
    <w:rsid w:val="00674438"/>
    <w:rsid w:val="0069695D"/>
    <w:rsid w:val="006A10BD"/>
    <w:rsid w:val="006A1E14"/>
    <w:rsid w:val="00706642"/>
    <w:rsid w:val="00722254"/>
    <w:rsid w:val="00734778"/>
    <w:rsid w:val="0074311F"/>
    <w:rsid w:val="00747F85"/>
    <w:rsid w:val="00764B7C"/>
    <w:rsid w:val="0079288E"/>
    <w:rsid w:val="007A0720"/>
    <w:rsid w:val="007A1459"/>
    <w:rsid w:val="007B2639"/>
    <w:rsid w:val="007B57B9"/>
    <w:rsid w:val="007B6AC5"/>
    <w:rsid w:val="007C6DF6"/>
    <w:rsid w:val="007F6366"/>
    <w:rsid w:val="00803785"/>
    <w:rsid w:val="008556B7"/>
    <w:rsid w:val="00865DE3"/>
    <w:rsid w:val="008740C0"/>
    <w:rsid w:val="00913A93"/>
    <w:rsid w:val="00944180"/>
    <w:rsid w:val="009618BA"/>
    <w:rsid w:val="00991767"/>
    <w:rsid w:val="009B2AFB"/>
    <w:rsid w:val="009D4F77"/>
    <w:rsid w:val="00A33419"/>
    <w:rsid w:val="00A45398"/>
    <w:rsid w:val="00A6757B"/>
    <w:rsid w:val="00AB56CC"/>
    <w:rsid w:val="00AD2BE8"/>
    <w:rsid w:val="00AE3126"/>
    <w:rsid w:val="00AE55E7"/>
    <w:rsid w:val="00AF79A0"/>
    <w:rsid w:val="00B11C0A"/>
    <w:rsid w:val="00B33B64"/>
    <w:rsid w:val="00B52B4C"/>
    <w:rsid w:val="00B97E56"/>
    <w:rsid w:val="00BA107A"/>
    <w:rsid w:val="00BB1836"/>
    <w:rsid w:val="00BE02C6"/>
    <w:rsid w:val="00C028AF"/>
    <w:rsid w:val="00C170E7"/>
    <w:rsid w:val="00C62018"/>
    <w:rsid w:val="00C62B78"/>
    <w:rsid w:val="00C73144"/>
    <w:rsid w:val="00CB1EC3"/>
    <w:rsid w:val="00CC1493"/>
    <w:rsid w:val="00D04347"/>
    <w:rsid w:val="00D0604D"/>
    <w:rsid w:val="00D72093"/>
    <w:rsid w:val="00D84E31"/>
    <w:rsid w:val="00DB626A"/>
    <w:rsid w:val="00DE08EC"/>
    <w:rsid w:val="00E14A8F"/>
    <w:rsid w:val="00E1735D"/>
    <w:rsid w:val="00E60D95"/>
    <w:rsid w:val="00EA278E"/>
    <w:rsid w:val="00EE0BE4"/>
    <w:rsid w:val="00F51E7C"/>
    <w:rsid w:val="00F7208C"/>
    <w:rsid w:val="00FC0552"/>
    <w:rsid w:val="00FC74E6"/>
    <w:rsid w:val="00FD5A54"/>
    <w:rsid w:val="00FF60A2"/>
    <w:rsid w:val="72D85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344</Words>
  <Characters>1963</Characters>
  <Lines>16</Lines>
  <Paragraphs>4</Paragraphs>
  <TotalTime>748</TotalTime>
  <ScaleCrop>false</ScaleCrop>
  <LinksUpToDate>false</LinksUpToDate>
  <CharactersWithSpaces>2303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2018-03-28T03:03:00Z</dcterms:created>
  <dc:creator>冯妍妍/预算绩效管理处（行资处）/湖北省财政厅</dc:creator>
  <cp:lastModifiedBy>admin</cp:lastModifiedBy>
  <cp:lastPrinted>2018-03-02T03:41:00Z</cp:lastPrinted>
  <dcterms:modified xsi:type="dcterms:W3CDTF">2021-07-30T01:45:06Z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