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ind w:firstLine="0" w:firstLineChars="0"/>
        <w:jc w:val="center"/>
        <w:rPr>
          <w:b/>
          <w:sz w:val="44"/>
        </w:rPr>
      </w:pPr>
    </w:p>
    <w:p>
      <w:pPr>
        <w:pStyle w:val="22"/>
        <w:ind w:firstLine="560"/>
      </w:pPr>
    </w:p>
    <w:p>
      <w:pPr>
        <w:topLinePunct/>
        <w:ind w:firstLine="0" w:firstLineChars="0"/>
        <w:jc w:val="center"/>
        <w:rPr>
          <w:b/>
          <w:sz w:val="44"/>
        </w:rPr>
      </w:pPr>
    </w:p>
    <w:p>
      <w:pPr>
        <w:topLinePunct/>
        <w:spacing w:after="312" w:afterLines="100" w:line="480" w:lineRule="auto"/>
        <w:ind w:firstLine="0" w:firstLineChars="0"/>
        <w:jc w:val="center"/>
        <w:rPr>
          <w:rFonts w:eastAsia="宋体" w:asciiTheme="minorHAnsi" w:hAnsiTheme="minorHAnsi"/>
          <w:b/>
          <w:sz w:val="72"/>
          <w:szCs w:val="72"/>
        </w:rPr>
      </w:pPr>
      <w:r>
        <w:rPr>
          <w:rFonts w:hint="eastAsia" w:eastAsia="宋体"/>
          <w:b/>
          <w:sz w:val="72"/>
          <w:szCs w:val="72"/>
        </w:rPr>
        <w:t>大冶市</w:t>
      </w:r>
    </w:p>
    <w:p>
      <w:pPr>
        <w:topLinePunct/>
        <w:spacing w:after="312" w:afterLines="100" w:line="480" w:lineRule="auto"/>
        <w:ind w:firstLine="0" w:firstLineChars="0"/>
        <w:jc w:val="center"/>
        <w:rPr>
          <w:rFonts w:eastAsia="华文楷体" w:asciiTheme="minorHAnsi" w:hAnsiTheme="minorHAnsi"/>
          <w:b/>
          <w:sz w:val="72"/>
          <w:szCs w:val="72"/>
        </w:rPr>
      </w:pPr>
      <w:r>
        <w:rPr>
          <w:rFonts w:hint="eastAsia" w:eastAsia="宋体"/>
          <w:b/>
          <w:sz w:val="72"/>
          <w:szCs w:val="72"/>
        </w:rPr>
        <w:t>极端降雨城市内涝应急预案</w:t>
      </w:r>
    </w:p>
    <w:p>
      <w:pPr>
        <w:topLinePunct/>
        <w:ind w:firstLine="0" w:firstLineChars="0"/>
        <w:jc w:val="center"/>
        <w:rPr>
          <w:rFonts w:eastAsia="宋体"/>
          <w:sz w:val="48"/>
          <w:szCs w:val="48"/>
        </w:rPr>
      </w:pPr>
    </w:p>
    <w:p>
      <w:pPr>
        <w:topLinePunct/>
        <w:ind w:firstLine="0" w:firstLineChars="0"/>
        <w:jc w:val="center"/>
        <w:rPr>
          <w:rFonts w:eastAsia="宋体" w:asciiTheme="minorHAnsi" w:hAnsiTheme="minorHAnsi"/>
          <w:b/>
          <w:sz w:val="48"/>
          <w:szCs w:val="48"/>
        </w:rPr>
      </w:pPr>
      <w:r>
        <w:rPr>
          <w:rFonts w:hint="eastAsia" w:eastAsia="宋体"/>
          <w:b/>
          <w:sz w:val="48"/>
          <w:szCs w:val="48"/>
        </w:rPr>
        <w:t>（送审稿）</w:t>
      </w:r>
    </w:p>
    <w:p>
      <w:pPr>
        <w:topLinePunct/>
        <w:ind w:firstLine="0" w:firstLineChars="0"/>
        <w:jc w:val="center"/>
        <w:rPr>
          <w:rFonts w:eastAsia="宋体"/>
          <w:sz w:val="48"/>
          <w:szCs w:val="48"/>
        </w:rPr>
      </w:pPr>
    </w:p>
    <w:p>
      <w:pPr>
        <w:topLinePunct/>
        <w:ind w:firstLine="0" w:firstLineChars="0"/>
        <w:jc w:val="center"/>
        <w:rPr>
          <w:rFonts w:eastAsia="宋体"/>
          <w:sz w:val="48"/>
          <w:szCs w:val="48"/>
        </w:rPr>
      </w:pPr>
    </w:p>
    <w:p>
      <w:pPr>
        <w:topLinePunct/>
        <w:ind w:firstLine="0" w:firstLineChars="0"/>
        <w:jc w:val="center"/>
        <w:rPr>
          <w:rFonts w:eastAsia="宋体"/>
          <w:sz w:val="48"/>
          <w:szCs w:val="48"/>
        </w:rPr>
      </w:pPr>
    </w:p>
    <w:p>
      <w:pPr>
        <w:topLinePunct/>
        <w:ind w:firstLine="0" w:firstLineChars="0"/>
        <w:jc w:val="center"/>
        <w:rPr>
          <w:rFonts w:eastAsia="宋体"/>
          <w:sz w:val="48"/>
          <w:szCs w:val="48"/>
        </w:rPr>
      </w:pPr>
    </w:p>
    <w:p>
      <w:pPr>
        <w:topLinePunct/>
        <w:ind w:firstLine="0" w:firstLineChars="0"/>
        <w:jc w:val="center"/>
        <w:rPr>
          <w:rFonts w:eastAsia="宋体"/>
          <w:sz w:val="48"/>
          <w:szCs w:val="48"/>
        </w:rPr>
      </w:pPr>
    </w:p>
    <w:p>
      <w:pPr>
        <w:topLinePunct/>
        <w:ind w:firstLine="0" w:firstLineChars="0"/>
        <w:jc w:val="center"/>
        <w:rPr>
          <w:rFonts w:eastAsia="宋体"/>
          <w:sz w:val="48"/>
          <w:szCs w:val="48"/>
        </w:rPr>
      </w:pPr>
    </w:p>
    <w:p>
      <w:pPr>
        <w:topLinePunct/>
        <w:ind w:firstLine="0" w:firstLineChars="0"/>
        <w:jc w:val="center"/>
        <w:rPr>
          <w:rFonts w:eastAsia="宋体"/>
          <w:sz w:val="48"/>
          <w:szCs w:val="48"/>
        </w:rPr>
      </w:pPr>
    </w:p>
    <w:p>
      <w:pPr>
        <w:topLinePunct/>
        <w:ind w:firstLine="0" w:firstLineChars="0"/>
        <w:jc w:val="center"/>
        <w:rPr>
          <w:rFonts w:eastAsia="宋体"/>
          <w:sz w:val="48"/>
          <w:szCs w:val="48"/>
        </w:rPr>
      </w:pPr>
    </w:p>
    <w:p>
      <w:pPr>
        <w:topLinePunct/>
        <w:ind w:firstLine="0" w:firstLineChars="0"/>
        <w:jc w:val="center"/>
        <w:rPr>
          <w:rFonts w:eastAsia="宋体"/>
          <w:sz w:val="48"/>
          <w:szCs w:val="48"/>
        </w:rPr>
      </w:pPr>
    </w:p>
    <w:p>
      <w:pPr>
        <w:topLinePunct/>
        <w:ind w:firstLine="0" w:firstLineChars="0"/>
        <w:jc w:val="center"/>
        <w:rPr>
          <w:rFonts w:eastAsia="宋体"/>
          <w:sz w:val="48"/>
          <w:szCs w:val="48"/>
        </w:rPr>
      </w:pPr>
    </w:p>
    <w:p>
      <w:pPr>
        <w:topLinePunct/>
        <w:ind w:firstLine="0" w:firstLineChars="0"/>
        <w:jc w:val="center"/>
        <w:rPr>
          <w:rFonts w:eastAsia="宋体" w:asciiTheme="minorHAnsi" w:hAnsiTheme="minorHAnsi"/>
          <w:b/>
          <w:sz w:val="44"/>
          <w:szCs w:val="44"/>
        </w:rPr>
      </w:pPr>
      <w:r>
        <w:rPr>
          <w:rFonts w:hint="eastAsia" w:eastAsia="宋体"/>
          <w:b/>
          <w:sz w:val="44"/>
          <w:szCs w:val="44"/>
        </w:rPr>
        <w:t>大冶市城市防洪（排渍）指挥部</w:t>
      </w:r>
    </w:p>
    <w:p>
      <w:pPr>
        <w:topLinePunct/>
        <w:ind w:firstLine="0" w:firstLineChars="0"/>
        <w:jc w:val="center"/>
        <w:rPr>
          <w:rFonts w:asciiTheme="minorHAnsi" w:hAnsiTheme="minorHAnsi"/>
          <w:highlight w:val="yellow"/>
        </w:rPr>
        <w:sectPr>
          <w:headerReference r:id="rId7" w:type="first"/>
          <w:footerReference r:id="rId10" w:type="first"/>
          <w:headerReference r:id="rId5" w:type="default"/>
          <w:footerReference r:id="rId8" w:type="default"/>
          <w:headerReference r:id="rId6" w:type="even"/>
          <w:footerReference r:id="rId9" w:type="even"/>
          <w:pgSz w:w="11906" w:h="16838"/>
          <w:pgMar w:top="1758" w:right="1418" w:bottom="1758" w:left="1418" w:header="851" w:footer="992" w:gutter="0"/>
          <w:cols w:space="425" w:num="1"/>
          <w:docGrid w:type="lines" w:linePitch="312" w:charSpace="0"/>
        </w:sectPr>
      </w:pPr>
      <w:r>
        <w:rPr>
          <w:rFonts w:hint="eastAsia" w:eastAsia="宋体"/>
          <w:b/>
          <w:sz w:val="44"/>
          <w:szCs w:val="44"/>
        </w:rPr>
        <w:t>二〇二三年四月</w:t>
      </w:r>
    </w:p>
    <w:sdt>
      <w:sdtPr>
        <w:rPr>
          <w:rFonts w:ascii="Times New Roman" w:hAnsi="Times New Roman" w:eastAsiaTheme="minorEastAsia" w:cstheme="minorBidi"/>
          <w:color w:val="auto"/>
          <w:kern w:val="2"/>
          <w:sz w:val="24"/>
          <w:szCs w:val="22"/>
          <w:lang w:val="zh-CN"/>
        </w:rPr>
        <w:id w:val="-752818191"/>
        <w:docPartObj>
          <w:docPartGallery w:val="Table of Contents"/>
          <w:docPartUnique/>
        </w:docPartObj>
      </w:sdtPr>
      <w:sdtEndPr>
        <w:rPr>
          <w:rFonts w:ascii="Times New Roman" w:hAnsi="Times New Roman" w:eastAsiaTheme="minorEastAsia" w:cstheme="minorBidi"/>
          <w:b/>
          <w:bCs/>
          <w:color w:val="auto"/>
          <w:kern w:val="2"/>
          <w:sz w:val="24"/>
          <w:szCs w:val="22"/>
          <w:lang w:val="zh-CN"/>
        </w:rPr>
      </w:sdtEndPr>
      <w:sdtContent>
        <w:p>
          <w:pPr>
            <w:pStyle w:val="41"/>
            <w:spacing w:before="0" w:after="240" w:afterLines="100" w:line="240" w:lineRule="auto"/>
            <w:ind w:firstLine="0" w:firstLineChars="0"/>
            <w:jc w:val="center"/>
          </w:pPr>
          <w:r>
            <w:rPr>
              <w:rFonts w:ascii="黑体" w:hAnsi="黑体" w:eastAsia="黑体"/>
              <w:b/>
              <w:color w:val="auto"/>
              <w:lang w:val="zh-CN"/>
            </w:rPr>
            <w:t>目</w:t>
          </w:r>
          <w:r>
            <w:rPr>
              <w:rFonts w:hint="eastAsia" w:ascii="黑体" w:hAnsi="黑体" w:eastAsia="黑体"/>
              <w:b/>
              <w:color w:val="auto"/>
              <w:lang w:val="zh-CN"/>
            </w:rPr>
            <w:t xml:space="preserve"> </w:t>
          </w:r>
          <w:r>
            <w:rPr>
              <w:rFonts w:ascii="黑体" w:hAnsi="黑体" w:eastAsia="黑体"/>
              <w:b/>
              <w:color w:val="auto"/>
              <w:lang w:val="zh-CN"/>
            </w:rPr>
            <w:t xml:space="preserve"> 录</w:t>
          </w:r>
        </w:p>
        <w:p>
          <w:pPr>
            <w:pStyle w:val="14"/>
            <w:tabs>
              <w:tab w:val="right" w:leader="dot" w:pos="8777"/>
            </w:tabs>
            <w:ind w:firstLine="480"/>
            <w:rPr>
              <w:rFonts w:asciiTheme="minorHAnsi" w:hAnsiTheme="minorHAnsi"/>
              <w:sz w:val="21"/>
            </w:rPr>
          </w:pPr>
          <w:r>
            <w:fldChar w:fldCharType="begin"/>
          </w:r>
          <w:r>
            <w:instrText xml:space="preserve"> TOC \o "1-3" \h \z \u </w:instrText>
          </w:r>
          <w:r>
            <w:fldChar w:fldCharType="separate"/>
          </w:r>
          <w:r>
            <w:fldChar w:fldCharType="begin"/>
          </w:r>
          <w:r>
            <w:instrText xml:space="preserve"> HYPERLINK \l "_Toc134984844" </w:instrText>
          </w:r>
          <w:r>
            <w:fldChar w:fldCharType="separate"/>
          </w:r>
          <w:r>
            <w:rPr>
              <w:rStyle w:val="21"/>
            </w:rPr>
            <w:t>一、总则</w:t>
          </w:r>
          <w:r>
            <w:tab/>
          </w:r>
          <w:r>
            <w:fldChar w:fldCharType="begin"/>
          </w:r>
          <w:r>
            <w:instrText xml:space="preserve"> PAGEREF _Toc134984844 \h </w:instrText>
          </w:r>
          <w:r>
            <w:fldChar w:fldCharType="separate"/>
          </w:r>
          <w:r>
            <w:t>1</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"_Toc134984845" </w:instrText>
          </w:r>
          <w:r>
            <w:fldChar w:fldCharType="separate"/>
          </w:r>
          <w:r>
            <w:rPr>
              <w:rStyle w:val="21"/>
            </w:rPr>
            <w:t>（一）指导思想</w:t>
          </w:r>
          <w:r>
            <w:tab/>
          </w:r>
          <w:r>
            <w:fldChar w:fldCharType="begin"/>
          </w:r>
          <w:r>
            <w:instrText xml:space="preserve"> PAGEREF _Toc134984845 \h </w:instrText>
          </w:r>
          <w:r>
            <w:fldChar w:fldCharType="separate"/>
          </w:r>
          <w:r>
            <w:t>1</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"_Toc134984846" </w:instrText>
          </w:r>
          <w:r>
            <w:fldChar w:fldCharType="separate"/>
          </w:r>
          <w:r>
            <w:rPr>
              <w:rStyle w:val="21"/>
            </w:rPr>
            <w:t>（二）编制目的</w:t>
          </w:r>
          <w:r>
            <w:tab/>
          </w:r>
          <w:r>
            <w:fldChar w:fldCharType="begin"/>
          </w:r>
          <w:r>
            <w:instrText xml:space="preserve"> PAGEREF _Toc134984846 \h </w:instrText>
          </w:r>
          <w:r>
            <w:fldChar w:fldCharType="separate"/>
          </w:r>
          <w:r>
            <w:t>1</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"_Toc134984847" </w:instrText>
          </w:r>
          <w:r>
            <w:fldChar w:fldCharType="separate"/>
          </w:r>
          <w:r>
            <w:rPr>
              <w:rStyle w:val="21"/>
            </w:rPr>
            <w:t>（三）编制依据</w:t>
          </w:r>
          <w:r>
            <w:tab/>
          </w:r>
          <w:r>
            <w:fldChar w:fldCharType="begin"/>
          </w:r>
          <w:r>
            <w:instrText xml:space="preserve"> PAGEREF _Toc134984847 \h </w:instrText>
          </w:r>
          <w:r>
            <w:fldChar w:fldCharType="separate"/>
          </w:r>
          <w:r>
            <w:t>1</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"_Toc134984848" </w:instrText>
          </w:r>
          <w:r>
            <w:fldChar w:fldCharType="separate"/>
          </w:r>
          <w:r>
            <w:rPr>
              <w:rStyle w:val="21"/>
            </w:rPr>
            <w:t>（四）适用范围</w:t>
          </w:r>
          <w:r>
            <w:tab/>
          </w:r>
          <w:r>
            <w:fldChar w:fldCharType="begin"/>
          </w:r>
          <w:r>
            <w:instrText xml:space="preserve"> PAGEREF _Toc134984848 \h </w:instrText>
          </w:r>
          <w:r>
            <w:fldChar w:fldCharType="separate"/>
          </w:r>
          <w:r>
            <w:t>3</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"_Toc134984849" </w:instrText>
          </w:r>
          <w:r>
            <w:fldChar w:fldCharType="separate"/>
          </w:r>
          <w:r>
            <w:rPr>
              <w:rStyle w:val="21"/>
            </w:rPr>
            <w:t>（五）工作原则</w:t>
          </w:r>
          <w:r>
            <w:tab/>
          </w:r>
          <w:r>
            <w:fldChar w:fldCharType="begin"/>
          </w:r>
          <w:r>
            <w:instrText xml:space="preserve"> PAGEREF _Toc134984849 \h </w:instrText>
          </w:r>
          <w:r>
            <w:fldChar w:fldCharType="separate"/>
          </w:r>
          <w:r>
            <w:t>3</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"_Toc134984850" </w:instrText>
          </w:r>
          <w:r>
            <w:fldChar w:fldCharType="separate"/>
          </w:r>
          <w:r>
            <w:rPr>
              <w:rStyle w:val="21"/>
            </w:rPr>
            <w:t>（六）应急响应</w:t>
          </w:r>
          <w:r>
            <w:tab/>
          </w:r>
          <w:r>
            <w:fldChar w:fldCharType="begin"/>
          </w:r>
          <w:r>
            <w:instrText xml:space="preserve"> PAGEREF _Toc134984850 \h </w:instrText>
          </w:r>
          <w:r>
            <w:fldChar w:fldCharType="separate"/>
          </w:r>
          <w:r>
            <w:t>3</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"_Toc134984851" </w:instrText>
          </w:r>
          <w:r>
            <w:fldChar w:fldCharType="separate"/>
          </w:r>
          <w:r>
            <w:rPr>
              <w:rStyle w:val="21"/>
            </w:rPr>
            <w:t>（七）应急预案体系</w:t>
          </w:r>
          <w:r>
            <w:tab/>
          </w:r>
          <w:r>
            <w:fldChar w:fldCharType="begin"/>
          </w:r>
          <w:r>
            <w:instrText xml:space="preserve"> PAGEREF _Toc134984851 \h </w:instrText>
          </w:r>
          <w:r>
            <w:fldChar w:fldCharType="separate"/>
          </w:r>
          <w:r>
            <w:t>4</w:t>
          </w:r>
          <w:r>
            <w:fldChar w:fldCharType="end"/>
          </w:r>
          <w:r>
            <w:fldChar w:fldCharType="end"/>
          </w:r>
        </w:p>
        <w:p>
          <w:pPr>
            <w:pStyle w:val="14"/>
            <w:tabs>
              <w:tab w:val="right" w:leader="dot" w:pos="8777"/>
            </w:tabs>
            <w:ind w:firstLine="480"/>
            <w:rPr>
              <w:rFonts w:asciiTheme="minorHAnsi" w:hAnsiTheme="minorHAnsi"/>
              <w:sz w:val="21"/>
            </w:rPr>
          </w:pPr>
          <w:r>
            <w:fldChar w:fldCharType="begin"/>
          </w:r>
          <w:r>
            <w:instrText xml:space="preserve"> HYPERLINK \l "_Toc134984852" </w:instrText>
          </w:r>
          <w:r>
            <w:fldChar w:fldCharType="separate"/>
          </w:r>
          <w:r>
            <w:rPr>
              <w:rStyle w:val="21"/>
            </w:rPr>
            <w:t>二、内涝防范工作</w:t>
          </w:r>
          <w:r>
            <w:tab/>
          </w:r>
          <w:r>
            <w:fldChar w:fldCharType="begin"/>
          </w:r>
          <w:r>
            <w:instrText xml:space="preserve"> PAGEREF _Toc134984852 \h </w:instrText>
          </w:r>
          <w:r>
            <w:fldChar w:fldCharType="separate"/>
          </w:r>
          <w:r>
            <w:t>5</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"_Toc134984853" </w:instrText>
          </w:r>
          <w:r>
            <w:fldChar w:fldCharType="separate"/>
          </w:r>
          <w:r>
            <w:rPr>
              <w:rStyle w:val="21"/>
            </w:rPr>
            <w:t>（一）极端降雨情况分析</w:t>
          </w:r>
          <w:r>
            <w:tab/>
          </w:r>
          <w:r>
            <w:fldChar w:fldCharType="begin"/>
          </w:r>
          <w:r>
            <w:instrText xml:space="preserve"> PAGEREF _Toc134984853 \h </w:instrText>
          </w:r>
          <w:r>
            <w:fldChar w:fldCharType="separate"/>
          </w:r>
          <w:r>
            <w:t>5</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"_Toc134984854" </w:instrText>
          </w:r>
          <w:r>
            <w:fldChar w:fldCharType="separate"/>
          </w:r>
          <w:r>
            <w:rPr>
              <w:rStyle w:val="21"/>
            </w:rPr>
            <w:t>1、历史降雨情况分析</w:t>
          </w:r>
          <w:r>
            <w:tab/>
          </w:r>
          <w:r>
            <w:fldChar w:fldCharType="begin"/>
          </w:r>
          <w:r>
            <w:instrText xml:space="preserve"> PAGEREF _Toc134984854 \h </w:instrText>
          </w:r>
          <w:r>
            <w:fldChar w:fldCharType="separate"/>
          </w:r>
          <w:r>
            <w:t>5</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"_Toc134984855" </w:instrText>
          </w:r>
          <w:r>
            <w:fldChar w:fldCharType="separate"/>
          </w:r>
          <w:r>
            <w:rPr>
              <w:rStyle w:val="21"/>
            </w:rPr>
            <w:t>2、极端降雨雨量阈值</w:t>
          </w:r>
          <w:r>
            <w:tab/>
          </w:r>
          <w:r>
            <w:fldChar w:fldCharType="begin"/>
          </w:r>
          <w:r>
            <w:instrText xml:space="preserve"> PAGEREF _Toc134984855 \h </w:instrText>
          </w:r>
          <w:r>
            <w:fldChar w:fldCharType="separate"/>
          </w:r>
          <w:r>
            <w:t>5</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"_Toc134984856" </w:instrText>
          </w:r>
          <w:r>
            <w:fldChar w:fldCharType="separate"/>
          </w:r>
          <w:r>
            <w:rPr>
              <w:rStyle w:val="21"/>
            </w:rPr>
            <w:t>（二）分析划定城市内涝高风险区域</w:t>
          </w:r>
          <w:r>
            <w:tab/>
          </w:r>
          <w:r>
            <w:fldChar w:fldCharType="begin"/>
          </w:r>
          <w:r>
            <w:instrText xml:space="preserve"> PAGEREF _Toc134984856 \h </w:instrText>
          </w:r>
          <w:r>
            <w:fldChar w:fldCharType="separate"/>
          </w:r>
          <w:r>
            <w:t>6</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"_Toc134984857" </w:instrText>
          </w:r>
          <w:r>
            <w:fldChar w:fldCharType="separate"/>
          </w:r>
          <w:r>
            <w:rPr>
              <w:rStyle w:val="21"/>
            </w:rPr>
            <w:t>（三）明确重点防护对象</w:t>
          </w:r>
          <w:r>
            <w:tab/>
          </w:r>
          <w:r>
            <w:fldChar w:fldCharType="begin"/>
          </w:r>
          <w:r>
            <w:instrText xml:space="preserve"> PAGEREF _Toc134984857 \h </w:instrText>
          </w:r>
          <w:r>
            <w:fldChar w:fldCharType="separate"/>
          </w:r>
          <w:r>
            <w:t>10</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"_Toc134984858" </w:instrText>
          </w:r>
          <w:r>
            <w:fldChar w:fldCharType="separate"/>
          </w:r>
          <w:r>
            <w:rPr>
              <w:rStyle w:val="21"/>
            </w:rPr>
            <w:t>1、重要排涝设施</w:t>
          </w:r>
          <w:r>
            <w:tab/>
          </w:r>
          <w:r>
            <w:fldChar w:fldCharType="begin"/>
          </w:r>
          <w:r>
            <w:instrText xml:space="preserve"> PAGEREF _Toc134984858 \h </w:instrText>
          </w:r>
          <w:r>
            <w:fldChar w:fldCharType="separate"/>
          </w:r>
          <w:r>
            <w:t>10</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"_Toc134984859" </w:instrText>
          </w:r>
          <w:r>
            <w:fldChar w:fldCharType="separate"/>
          </w:r>
          <w:r>
            <w:rPr>
              <w:rStyle w:val="21"/>
            </w:rPr>
            <w:t>2、重点交通设施</w:t>
          </w:r>
          <w:r>
            <w:tab/>
          </w:r>
          <w:r>
            <w:fldChar w:fldCharType="begin"/>
          </w:r>
          <w:r>
            <w:instrText xml:space="preserve"> PAGEREF _Toc134984859 \h </w:instrText>
          </w:r>
          <w:r>
            <w:fldChar w:fldCharType="separate"/>
          </w:r>
          <w:r>
            <w:t>12</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"_Toc134984860" </w:instrText>
          </w:r>
          <w:r>
            <w:fldChar w:fldCharType="separate"/>
          </w:r>
          <w:r>
            <w:rPr>
              <w:rStyle w:val="21"/>
            </w:rPr>
            <w:t>3、生命线工程</w:t>
          </w:r>
          <w:r>
            <w:tab/>
          </w:r>
          <w:r>
            <w:fldChar w:fldCharType="begin"/>
          </w:r>
          <w:r>
            <w:instrText xml:space="preserve"> PAGEREF _Toc134984860 \h </w:instrText>
          </w:r>
          <w:r>
            <w:fldChar w:fldCharType="separate"/>
          </w:r>
          <w:r>
            <w:t>12</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"_Toc134984861" </w:instrText>
          </w:r>
          <w:r>
            <w:fldChar w:fldCharType="separate"/>
          </w:r>
          <w:r>
            <w:rPr>
              <w:rStyle w:val="21"/>
            </w:rPr>
            <w:t>4、地下空间</w:t>
          </w:r>
          <w:r>
            <w:tab/>
          </w:r>
          <w:r>
            <w:fldChar w:fldCharType="begin"/>
          </w:r>
          <w:r>
            <w:instrText xml:space="preserve"> PAGEREF _Toc134984861 \h </w:instrText>
          </w:r>
          <w:r>
            <w:fldChar w:fldCharType="separate"/>
          </w:r>
          <w:r>
            <w:t>12</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"_Toc134984862" </w:instrText>
          </w:r>
          <w:r>
            <w:fldChar w:fldCharType="separate"/>
          </w:r>
          <w:r>
            <w:rPr>
              <w:rStyle w:val="21"/>
            </w:rPr>
            <w:t>5、人员密集场所</w:t>
          </w:r>
          <w:r>
            <w:tab/>
          </w:r>
          <w:r>
            <w:fldChar w:fldCharType="begin"/>
          </w:r>
          <w:r>
            <w:instrText xml:space="preserve"> PAGEREF _Toc134984862 \h </w:instrText>
          </w:r>
          <w:r>
            <w:fldChar w:fldCharType="separate"/>
          </w:r>
          <w:r>
            <w:t>13</w:t>
          </w:r>
          <w:r>
            <w:fldChar w:fldCharType="end"/>
          </w:r>
          <w:r>
            <w:fldChar w:fldCharType="end"/>
          </w:r>
        </w:p>
        <w:p>
          <w:pPr>
            <w:pStyle w:val="14"/>
            <w:tabs>
              <w:tab w:val="right" w:leader="dot" w:pos="8777"/>
            </w:tabs>
            <w:ind w:firstLine="480"/>
            <w:rPr>
              <w:rFonts w:asciiTheme="minorHAnsi" w:hAnsiTheme="minorHAnsi"/>
              <w:sz w:val="21"/>
            </w:rPr>
          </w:pPr>
          <w:r>
            <w:fldChar w:fldCharType="begin"/>
          </w:r>
          <w:r>
            <w:instrText xml:space="preserve"> HYPERLINK \l "_Toc134984863" </w:instrText>
          </w:r>
          <w:r>
            <w:fldChar w:fldCharType="separate"/>
          </w:r>
          <w:r>
            <w:rPr>
              <w:rStyle w:val="21"/>
            </w:rPr>
            <w:t>三、内涝应急工作重点</w:t>
          </w:r>
          <w:r>
            <w:tab/>
          </w:r>
          <w:r>
            <w:fldChar w:fldCharType="begin"/>
          </w:r>
          <w:r>
            <w:instrText xml:space="preserve"> PAGEREF _Toc134984863 \h </w:instrText>
          </w:r>
          <w:r>
            <w:fldChar w:fldCharType="separate"/>
          </w:r>
          <w:r>
            <w:t>15</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"_Toc134984864" </w:instrText>
          </w:r>
          <w:r>
            <w:fldChar w:fldCharType="separate"/>
          </w:r>
          <w:r>
            <w:rPr>
              <w:rStyle w:val="21"/>
            </w:rPr>
            <w:t>（一）应急处置措施</w:t>
          </w:r>
          <w:r>
            <w:tab/>
          </w:r>
          <w:r>
            <w:fldChar w:fldCharType="begin"/>
          </w:r>
          <w:r>
            <w:instrText xml:space="preserve"> PAGEREF _Toc134984864 \h </w:instrText>
          </w:r>
          <w:r>
            <w:fldChar w:fldCharType="separate"/>
          </w:r>
          <w:r>
            <w:t>15</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"_Toc134984865" </w:instrText>
          </w:r>
          <w:r>
            <w:fldChar w:fldCharType="separate"/>
          </w:r>
          <w:r>
            <w:rPr>
              <w:rStyle w:val="21"/>
            </w:rPr>
            <w:t>1、积水防范和抢险</w:t>
          </w:r>
          <w:r>
            <w:tab/>
          </w:r>
          <w:r>
            <w:fldChar w:fldCharType="begin"/>
          </w:r>
          <w:r>
            <w:instrText xml:space="preserve"> PAGEREF _Toc134984865 \h </w:instrText>
          </w:r>
          <w:r>
            <w:fldChar w:fldCharType="separate"/>
          </w:r>
          <w:r>
            <w:t>15</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"_Toc134984866" </w:instrText>
          </w:r>
          <w:r>
            <w:fldChar w:fldCharType="separate"/>
          </w:r>
          <w:r>
            <w:rPr>
              <w:rStyle w:val="21"/>
            </w:rPr>
            <w:t>2、群众疏散组织</w:t>
          </w:r>
          <w:r>
            <w:tab/>
          </w:r>
          <w:r>
            <w:fldChar w:fldCharType="begin"/>
          </w:r>
          <w:r>
            <w:instrText xml:space="preserve"> PAGEREF _Toc134984866 \h </w:instrText>
          </w:r>
          <w:r>
            <w:fldChar w:fldCharType="separate"/>
          </w:r>
          <w:r>
            <w:t>17</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"_Toc134984867" </w:instrText>
          </w:r>
          <w:r>
            <w:fldChar w:fldCharType="separate"/>
          </w:r>
          <w:r>
            <w:rPr>
              <w:rStyle w:val="21"/>
            </w:rPr>
            <w:t>3、受灾群众转移和安置</w:t>
          </w:r>
          <w:r>
            <w:tab/>
          </w:r>
          <w:r>
            <w:fldChar w:fldCharType="begin"/>
          </w:r>
          <w:r>
            <w:instrText xml:space="preserve"> PAGEREF _Toc134984867 \h </w:instrText>
          </w:r>
          <w:r>
            <w:fldChar w:fldCharType="separate"/>
          </w:r>
          <w:r>
            <w:t>17</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"_Toc134984868" </w:instrText>
          </w:r>
          <w:r>
            <w:fldChar w:fldCharType="separate"/>
          </w:r>
          <w:r>
            <w:rPr>
              <w:rStyle w:val="21"/>
            </w:rPr>
            <w:t>4、在建深基坑范围雨洪与塌方灾害抢险</w:t>
          </w:r>
          <w:r>
            <w:tab/>
          </w:r>
          <w:r>
            <w:fldChar w:fldCharType="begin"/>
          </w:r>
          <w:r>
            <w:instrText xml:space="preserve"> PAGEREF _Toc134984868 \h </w:instrText>
          </w:r>
          <w:r>
            <w:fldChar w:fldCharType="separate"/>
          </w:r>
          <w:r>
            <w:t>18</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"_Toc134984869" </w:instrText>
          </w:r>
          <w:r>
            <w:fldChar w:fldCharType="separate"/>
          </w:r>
          <w:r>
            <w:rPr>
              <w:rStyle w:val="21"/>
            </w:rPr>
            <w:t>（二）应急调度方案</w:t>
          </w:r>
          <w:r>
            <w:tab/>
          </w:r>
          <w:r>
            <w:fldChar w:fldCharType="begin"/>
          </w:r>
          <w:r>
            <w:instrText xml:space="preserve"> PAGEREF _Toc134984869 \h </w:instrText>
          </w:r>
          <w:r>
            <w:fldChar w:fldCharType="separate"/>
          </w:r>
          <w:r>
            <w:t>21</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"_Toc134984870" </w:instrText>
          </w:r>
          <w:r>
            <w:fldChar w:fldCharType="separate"/>
          </w:r>
          <w:r>
            <w:rPr>
              <w:rStyle w:val="21"/>
            </w:rPr>
            <w:t>1、湖泊与涵闸调度</w:t>
          </w:r>
          <w:r>
            <w:tab/>
          </w:r>
          <w:r>
            <w:fldChar w:fldCharType="begin"/>
          </w:r>
          <w:r>
            <w:instrText xml:space="preserve"> PAGEREF _Toc134984870 \h </w:instrText>
          </w:r>
          <w:r>
            <w:fldChar w:fldCharType="separate"/>
          </w:r>
          <w:r>
            <w:t>21</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"_Toc134984871" </w:instrText>
          </w:r>
          <w:r>
            <w:fldChar w:fldCharType="separate"/>
          </w:r>
          <w:r>
            <w:rPr>
              <w:rStyle w:val="21"/>
            </w:rPr>
            <w:t>2、污水处理设施运行调度与组织</w:t>
          </w:r>
          <w:r>
            <w:tab/>
          </w:r>
          <w:r>
            <w:fldChar w:fldCharType="begin"/>
          </w:r>
          <w:r>
            <w:instrText xml:space="preserve"> PAGEREF _Toc134984871 \h </w:instrText>
          </w:r>
          <w:r>
            <w:fldChar w:fldCharType="separate"/>
          </w:r>
          <w:r>
            <w:t>22</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"_Toc134984872" </w:instrText>
          </w:r>
          <w:r>
            <w:fldChar w:fldCharType="separate"/>
          </w:r>
          <w:r>
            <w:rPr>
              <w:rStyle w:val="21"/>
            </w:rPr>
            <w:t>3、渍水路段抢疏抢排组织与调度</w:t>
          </w:r>
          <w:r>
            <w:tab/>
          </w:r>
          <w:r>
            <w:fldChar w:fldCharType="begin"/>
          </w:r>
          <w:r>
            <w:instrText xml:space="preserve"> PAGEREF _Toc134984872 \h </w:instrText>
          </w:r>
          <w:r>
            <w:fldChar w:fldCharType="separate"/>
          </w:r>
          <w:r>
            <w:t>23</w:t>
          </w:r>
          <w:r>
            <w:fldChar w:fldCharType="end"/>
          </w:r>
          <w:r>
            <w:fldChar w:fldCharType="end"/>
          </w:r>
        </w:p>
        <w:p>
          <w:pPr>
            <w:pStyle w:val="14"/>
            <w:tabs>
              <w:tab w:val="right" w:leader="dot" w:pos="8777"/>
            </w:tabs>
            <w:ind w:firstLine="480"/>
            <w:rPr>
              <w:rFonts w:asciiTheme="minorHAnsi" w:hAnsiTheme="minorHAnsi"/>
              <w:sz w:val="21"/>
            </w:rPr>
          </w:pPr>
          <w:r>
            <w:fldChar w:fldCharType="begin"/>
          </w:r>
          <w:r>
            <w:instrText xml:space="preserve"> HYPERLINK \l "_Toc134984873" </w:instrText>
          </w:r>
          <w:r>
            <w:fldChar w:fldCharType="separate"/>
          </w:r>
          <w:r>
            <w:rPr>
              <w:rStyle w:val="21"/>
            </w:rPr>
            <w:t>四、应急组织体系及职责</w:t>
          </w:r>
          <w:r>
            <w:tab/>
          </w:r>
          <w:r>
            <w:fldChar w:fldCharType="begin"/>
          </w:r>
          <w:r>
            <w:instrText xml:space="preserve"> PAGEREF _Toc134984873 \h </w:instrText>
          </w:r>
          <w:r>
            <w:fldChar w:fldCharType="separate"/>
          </w:r>
          <w:r>
            <w:t>26</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"_Toc134984874" </w:instrText>
          </w:r>
          <w:r>
            <w:fldChar w:fldCharType="separate"/>
          </w:r>
          <w:r>
            <w:rPr>
              <w:rStyle w:val="21"/>
            </w:rPr>
            <w:t>（一）组织指挥体系</w:t>
          </w:r>
          <w:r>
            <w:tab/>
          </w:r>
          <w:r>
            <w:fldChar w:fldCharType="begin"/>
          </w:r>
          <w:r>
            <w:instrText xml:space="preserve"> PAGEREF _Toc134984874 \h </w:instrText>
          </w:r>
          <w:r>
            <w:fldChar w:fldCharType="separate"/>
          </w:r>
          <w:r>
            <w:t>26</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"_Toc134984875" </w:instrText>
          </w:r>
          <w:r>
            <w:fldChar w:fldCharType="separate"/>
          </w:r>
          <w:r>
            <w:rPr>
              <w:rStyle w:val="21"/>
            </w:rPr>
            <w:t>（二）成员单位职责</w:t>
          </w:r>
          <w:r>
            <w:tab/>
          </w:r>
          <w:r>
            <w:fldChar w:fldCharType="begin"/>
          </w:r>
          <w:r>
            <w:instrText xml:space="preserve"> PAGEREF _Toc134984875 \h </w:instrText>
          </w:r>
          <w:r>
            <w:fldChar w:fldCharType="separate"/>
          </w:r>
          <w:r>
            <w:t>27</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"_Toc134984876" </w:instrText>
          </w:r>
          <w:r>
            <w:fldChar w:fldCharType="separate"/>
          </w:r>
          <w:r>
            <w:rPr>
              <w:rStyle w:val="21"/>
            </w:rPr>
            <w:t>1、市防指主要职责</w:t>
          </w:r>
          <w:r>
            <w:tab/>
          </w:r>
          <w:r>
            <w:fldChar w:fldCharType="begin"/>
          </w:r>
          <w:r>
            <w:instrText xml:space="preserve"> PAGEREF _Toc134984876 \h </w:instrText>
          </w:r>
          <w:r>
            <w:fldChar w:fldCharType="separate"/>
          </w:r>
          <w:r>
            <w:t>27</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"_Toc134984877" </w:instrText>
          </w:r>
          <w:r>
            <w:fldChar w:fldCharType="separate"/>
          </w:r>
          <w:r>
            <w:rPr>
              <w:rStyle w:val="21"/>
            </w:rPr>
            <w:t>2、成员单位职责</w:t>
          </w:r>
          <w:r>
            <w:tab/>
          </w:r>
          <w:r>
            <w:fldChar w:fldCharType="begin"/>
          </w:r>
          <w:r>
            <w:instrText xml:space="preserve"> PAGEREF _Toc134984877 \h </w:instrText>
          </w:r>
          <w:r>
            <w:fldChar w:fldCharType="separate"/>
          </w:r>
          <w:r>
            <w:t>28</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"_Toc134984878" </w:instrText>
          </w:r>
          <w:r>
            <w:fldChar w:fldCharType="separate"/>
          </w:r>
          <w:r>
            <w:rPr>
              <w:rStyle w:val="21"/>
            </w:rPr>
            <w:t>2、工作组职责</w:t>
          </w:r>
          <w:r>
            <w:tab/>
          </w:r>
          <w:r>
            <w:fldChar w:fldCharType="begin"/>
          </w:r>
          <w:r>
            <w:instrText xml:space="preserve"> PAGEREF _Toc134984878 \h </w:instrText>
          </w:r>
          <w:r>
            <w:fldChar w:fldCharType="separate"/>
          </w:r>
          <w:r>
            <w:t>31</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"_Toc134984879" </w:instrText>
          </w:r>
          <w:r>
            <w:fldChar w:fldCharType="separate"/>
          </w:r>
          <w:r>
            <w:rPr>
              <w:rStyle w:val="21"/>
            </w:rPr>
            <w:t>（三）现场指挥调度</w:t>
          </w:r>
          <w:r>
            <w:tab/>
          </w:r>
          <w:r>
            <w:fldChar w:fldCharType="begin"/>
          </w:r>
          <w:r>
            <w:instrText xml:space="preserve"> PAGEREF _Toc134984879 \h </w:instrText>
          </w:r>
          <w:r>
            <w:fldChar w:fldCharType="separate"/>
          </w:r>
          <w:r>
            <w:t>36</w:t>
          </w:r>
          <w:r>
            <w:fldChar w:fldCharType="end"/>
          </w:r>
          <w:r>
            <w:fldChar w:fldCharType="end"/>
          </w:r>
        </w:p>
        <w:p>
          <w:pPr>
            <w:pStyle w:val="14"/>
            <w:tabs>
              <w:tab w:val="right" w:leader="dot" w:pos="8777"/>
            </w:tabs>
            <w:ind w:firstLine="480"/>
            <w:rPr>
              <w:rFonts w:asciiTheme="minorHAnsi" w:hAnsiTheme="minorHAnsi"/>
              <w:sz w:val="21"/>
            </w:rPr>
          </w:pPr>
          <w:r>
            <w:fldChar w:fldCharType="begin"/>
          </w:r>
          <w:r>
            <w:instrText xml:space="preserve"> HYPERLINK \l "_Toc134984880" </w:instrText>
          </w:r>
          <w:r>
            <w:fldChar w:fldCharType="separate"/>
          </w:r>
          <w:r>
            <w:rPr>
              <w:rStyle w:val="21"/>
            </w:rPr>
            <w:t>五、预警预防与应急响应</w:t>
          </w:r>
          <w:r>
            <w:tab/>
          </w:r>
          <w:r>
            <w:fldChar w:fldCharType="begin"/>
          </w:r>
          <w:r>
            <w:instrText xml:space="preserve"> PAGEREF _Toc134984880 \h </w:instrText>
          </w:r>
          <w:r>
            <w:fldChar w:fldCharType="separate"/>
          </w:r>
          <w:r>
            <w:t>37</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"_Toc134984881" </w:instrText>
          </w:r>
          <w:r>
            <w:fldChar w:fldCharType="separate"/>
          </w:r>
          <w:r>
            <w:rPr>
              <w:rStyle w:val="21"/>
            </w:rPr>
            <w:t>（一）预防预警</w:t>
          </w:r>
          <w:r>
            <w:tab/>
          </w:r>
          <w:r>
            <w:fldChar w:fldCharType="begin"/>
          </w:r>
          <w:r>
            <w:instrText xml:space="preserve"> PAGEREF _Toc134984881 \h </w:instrText>
          </w:r>
          <w:r>
            <w:fldChar w:fldCharType="separate"/>
          </w:r>
          <w:r>
            <w:t>37</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"_Toc134984882" </w:instrText>
          </w:r>
          <w:r>
            <w:fldChar w:fldCharType="separate"/>
          </w:r>
          <w:r>
            <w:rPr>
              <w:rStyle w:val="21"/>
            </w:rPr>
            <w:t>1、雨情信息</w:t>
          </w:r>
          <w:r>
            <w:tab/>
          </w:r>
          <w:r>
            <w:fldChar w:fldCharType="begin"/>
          </w:r>
          <w:r>
            <w:instrText xml:space="preserve"> PAGEREF _Toc134984882 \h </w:instrText>
          </w:r>
          <w:r>
            <w:fldChar w:fldCharType="separate"/>
          </w:r>
          <w:r>
            <w:t>37</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"_Toc134984883" </w:instrText>
          </w:r>
          <w:r>
            <w:fldChar w:fldCharType="separate"/>
          </w:r>
          <w:r>
            <w:rPr>
              <w:rStyle w:val="21"/>
            </w:rPr>
            <w:t>2、工情信息</w:t>
          </w:r>
          <w:r>
            <w:tab/>
          </w:r>
          <w:r>
            <w:fldChar w:fldCharType="begin"/>
          </w:r>
          <w:r>
            <w:instrText xml:space="preserve"> PAGEREF _Toc134984883 \h </w:instrText>
          </w:r>
          <w:r>
            <w:fldChar w:fldCharType="separate"/>
          </w:r>
          <w:r>
            <w:t>37</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"_Toc134984884" </w:instrText>
          </w:r>
          <w:r>
            <w:fldChar w:fldCharType="separate"/>
          </w:r>
          <w:r>
            <w:rPr>
              <w:rStyle w:val="21"/>
            </w:rPr>
            <w:t>3、险情信息</w:t>
          </w:r>
          <w:r>
            <w:tab/>
          </w:r>
          <w:r>
            <w:fldChar w:fldCharType="begin"/>
          </w:r>
          <w:r>
            <w:instrText xml:space="preserve"> PAGEREF _Toc134984884 \h </w:instrText>
          </w:r>
          <w:r>
            <w:fldChar w:fldCharType="separate"/>
          </w:r>
          <w:r>
            <w:t>38</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"_Toc134984885" </w:instrText>
          </w:r>
          <w:r>
            <w:fldChar w:fldCharType="separate"/>
          </w:r>
          <w:r>
            <w:rPr>
              <w:rStyle w:val="21"/>
            </w:rPr>
            <w:t>4、洪水预报</w:t>
          </w:r>
          <w:r>
            <w:tab/>
          </w:r>
          <w:r>
            <w:fldChar w:fldCharType="begin"/>
          </w:r>
          <w:r>
            <w:instrText xml:space="preserve"> PAGEREF _Toc134984885 \h </w:instrText>
          </w:r>
          <w:r>
            <w:fldChar w:fldCharType="separate"/>
          </w:r>
          <w:r>
            <w:t>38</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"_Toc134984886" </w:instrText>
          </w:r>
          <w:r>
            <w:fldChar w:fldCharType="separate"/>
          </w:r>
          <w:r>
            <w:rPr>
              <w:rStyle w:val="21"/>
            </w:rPr>
            <w:t>（二）预警条件与发布</w:t>
          </w:r>
          <w:r>
            <w:tab/>
          </w:r>
          <w:r>
            <w:fldChar w:fldCharType="begin"/>
          </w:r>
          <w:r>
            <w:instrText xml:space="preserve"> PAGEREF _Toc134984886 \h </w:instrText>
          </w:r>
          <w:r>
            <w:fldChar w:fldCharType="separate"/>
          </w:r>
          <w:r>
            <w:t>38</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"_Toc134984887" </w:instrText>
          </w:r>
          <w:r>
            <w:fldChar w:fldCharType="separate"/>
          </w:r>
          <w:r>
            <w:rPr>
              <w:rStyle w:val="21"/>
            </w:rPr>
            <w:t>1、预警条件</w:t>
          </w:r>
          <w:r>
            <w:tab/>
          </w:r>
          <w:r>
            <w:fldChar w:fldCharType="begin"/>
          </w:r>
          <w:r>
            <w:instrText xml:space="preserve"> PAGEREF _Toc134984887 \h </w:instrText>
          </w:r>
          <w:r>
            <w:fldChar w:fldCharType="separate"/>
          </w:r>
          <w:r>
            <w:t>38</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"_Toc134984888" </w:instrText>
          </w:r>
          <w:r>
            <w:fldChar w:fldCharType="separate"/>
          </w:r>
          <w:r>
            <w:rPr>
              <w:rStyle w:val="21"/>
            </w:rPr>
            <w:t>2、预警发布</w:t>
          </w:r>
          <w:r>
            <w:tab/>
          </w:r>
          <w:r>
            <w:fldChar w:fldCharType="begin"/>
          </w:r>
          <w:r>
            <w:instrText xml:space="preserve"> PAGEREF _Toc134984888 \h </w:instrText>
          </w:r>
          <w:r>
            <w:fldChar w:fldCharType="separate"/>
          </w:r>
          <w:r>
            <w:t>38</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"_Toc134984889" </w:instrText>
          </w:r>
          <w:r>
            <w:fldChar w:fldCharType="separate"/>
          </w:r>
          <w:r>
            <w:rPr>
              <w:rStyle w:val="21"/>
            </w:rPr>
            <w:t>3、</w:t>
          </w:r>
          <w:r>
            <w:rPr>
              <w:rStyle w:val="21"/>
              <w:rFonts w:hint="eastAsia"/>
              <w:lang w:val="en-US" w:eastAsia="zh-CN"/>
            </w:rPr>
            <w:t>响</w:t>
          </w:r>
          <w:r>
            <w:rPr>
              <w:rStyle w:val="21"/>
            </w:rPr>
            <w:t>应机制</w:t>
          </w:r>
          <w:r>
            <w:tab/>
          </w:r>
          <w:r>
            <w:fldChar w:fldCharType="begin"/>
          </w:r>
          <w:r>
            <w:instrText xml:space="preserve"> PAGEREF _Toc134984889 \h </w:instrText>
          </w:r>
          <w:r>
            <w:fldChar w:fldCharType="separate"/>
          </w:r>
          <w:r>
            <w:t>39</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"_Toc134984890" </w:instrText>
          </w:r>
          <w:r>
            <w:fldChar w:fldCharType="separate"/>
          </w:r>
          <w:r>
            <w:rPr>
              <w:rStyle w:val="21"/>
            </w:rPr>
            <w:t>（三）应急响应</w:t>
          </w:r>
          <w:r>
            <w:tab/>
          </w:r>
          <w:r>
            <w:fldChar w:fldCharType="begin"/>
          </w:r>
          <w:r>
            <w:instrText xml:space="preserve"> PAGEREF _Toc134984890 \h </w:instrText>
          </w:r>
          <w:r>
            <w:fldChar w:fldCharType="separate"/>
          </w:r>
          <w:r>
            <w:t>40</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"_Toc134984891" </w:instrText>
          </w:r>
          <w:r>
            <w:fldChar w:fldCharType="separate"/>
          </w:r>
          <w:r>
            <w:rPr>
              <w:rStyle w:val="21"/>
            </w:rPr>
            <w:t>1、工作程序</w:t>
          </w:r>
          <w:r>
            <w:tab/>
          </w:r>
          <w:r>
            <w:fldChar w:fldCharType="begin"/>
          </w:r>
          <w:r>
            <w:instrText xml:space="preserve"> PAGEREF _Toc134984891 \h </w:instrText>
          </w:r>
          <w:r>
            <w:fldChar w:fldCharType="separate"/>
          </w:r>
          <w:r>
            <w:t>40</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"_Toc134984892" </w:instrText>
          </w:r>
          <w:r>
            <w:fldChar w:fldCharType="separate"/>
          </w:r>
          <w:r>
            <w:rPr>
              <w:rStyle w:val="21"/>
            </w:rPr>
            <w:t>2、应急响应行动</w:t>
          </w:r>
          <w:r>
            <w:tab/>
          </w:r>
          <w:r>
            <w:fldChar w:fldCharType="begin"/>
          </w:r>
          <w:r>
            <w:instrText xml:space="preserve"> PAGEREF _Toc134984892 \h </w:instrText>
          </w:r>
          <w:r>
            <w:fldChar w:fldCharType="separate"/>
          </w:r>
          <w:r>
            <w:t>41</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"_Toc134984893" </w:instrText>
          </w:r>
          <w:r>
            <w:fldChar w:fldCharType="separate"/>
          </w:r>
          <w:r>
            <w:rPr>
              <w:rStyle w:val="21"/>
            </w:rPr>
            <w:t>3、信息报送机制</w:t>
          </w:r>
          <w:r>
            <w:tab/>
          </w:r>
          <w:r>
            <w:fldChar w:fldCharType="begin"/>
          </w:r>
          <w:r>
            <w:instrText xml:space="preserve"> PAGEREF _Toc134984893 \h </w:instrText>
          </w:r>
          <w:r>
            <w:fldChar w:fldCharType="separate"/>
          </w:r>
          <w:r>
            <w:t>43</w:t>
          </w:r>
          <w:r>
            <w:fldChar w:fldCharType="end"/>
          </w:r>
          <w:r>
            <w:fldChar w:fldCharType="end"/>
          </w:r>
        </w:p>
        <w:p>
          <w:pPr>
            <w:pStyle w:val="9"/>
            <w:tabs>
              <w:tab w:val="right" w:leader="dot" w:pos="8777"/>
            </w:tabs>
            <w:ind w:left="960" w:firstLine="480"/>
            <w:rPr>
              <w:rFonts w:asciiTheme="minorHAnsi" w:hAnsiTheme="minorHAnsi"/>
              <w:sz w:val="21"/>
            </w:rPr>
          </w:pPr>
          <w:r>
            <w:fldChar w:fldCharType="begin"/>
          </w:r>
          <w:r>
            <w:instrText xml:space="preserve"> HYPERLINK \l "_Toc134984894" </w:instrText>
          </w:r>
          <w:r>
            <w:fldChar w:fldCharType="separate"/>
          </w:r>
          <w:r>
            <w:rPr>
              <w:rStyle w:val="21"/>
            </w:rPr>
            <w:t>4、应急响应退出机制</w:t>
          </w:r>
          <w:r>
            <w:tab/>
          </w:r>
          <w:r>
            <w:fldChar w:fldCharType="begin"/>
          </w:r>
          <w:r>
            <w:instrText xml:space="preserve"> PAGEREF _Toc134984894 \h </w:instrText>
          </w:r>
          <w:r>
            <w:fldChar w:fldCharType="separate"/>
          </w:r>
          <w:r>
            <w:t>44</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"_Toc134984895" </w:instrText>
          </w:r>
          <w:r>
            <w:fldChar w:fldCharType="separate"/>
          </w:r>
          <w:r>
            <w:rPr>
              <w:rStyle w:val="21"/>
            </w:rPr>
            <w:t>（四）应急演练</w:t>
          </w:r>
          <w:r>
            <w:tab/>
          </w:r>
          <w:r>
            <w:fldChar w:fldCharType="begin"/>
          </w:r>
          <w:r>
            <w:instrText xml:space="preserve"> PAGEREF _Toc134984895 \h </w:instrText>
          </w:r>
          <w:r>
            <w:fldChar w:fldCharType="separate"/>
          </w:r>
          <w:r>
            <w:t>44</w:t>
          </w:r>
          <w:r>
            <w:fldChar w:fldCharType="end"/>
          </w:r>
          <w:r>
            <w:fldChar w:fldCharType="end"/>
          </w:r>
        </w:p>
        <w:p>
          <w:pPr>
            <w:pStyle w:val="14"/>
            <w:tabs>
              <w:tab w:val="right" w:leader="dot" w:pos="8777"/>
            </w:tabs>
            <w:ind w:firstLine="480"/>
            <w:rPr>
              <w:rFonts w:asciiTheme="minorHAnsi" w:hAnsiTheme="minorHAnsi"/>
              <w:sz w:val="21"/>
            </w:rPr>
          </w:pPr>
          <w:r>
            <w:fldChar w:fldCharType="begin"/>
          </w:r>
          <w:r>
            <w:instrText xml:space="preserve"> HYPERLINK \l "_Toc134984896" </w:instrText>
          </w:r>
          <w:r>
            <w:fldChar w:fldCharType="separate"/>
          </w:r>
          <w:r>
            <w:rPr>
              <w:rStyle w:val="21"/>
            </w:rPr>
            <w:t>六、应急响应保障</w:t>
          </w:r>
          <w:r>
            <w:tab/>
          </w:r>
          <w:r>
            <w:fldChar w:fldCharType="begin"/>
          </w:r>
          <w:r>
            <w:instrText xml:space="preserve"> PAGEREF _Toc134984896 \h </w:instrText>
          </w:r>
          <w:r>
            <w:fldChar w:fldCharType="separate"/>
          </w:r>
          <w:r>
            <w:t>46</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"_Toc134984897" </w:instrText>
          </w:r>
          <w:r>
            <w:fldChar w:fldCharType="separate"/>
          </w:r>
          <w:r>
            <w:rPr>
              <w:rStyle w:val="21"/>
            </w:rPr>
            <w:t>（一）指挥系统能力保障</w:t>
          </w:r>
          <w:r>
            <w:tab/>
          </w:r>
          <w:r>
            <w:fldChar w:fldCharType="begin"/>
          </w:r>
          <w:r>
            <w:instrText xml:space="preserve"> PAGEREF _Toc134984897 \h </w:instrText>
          </w:r>
          <w:r>
            <w:fldChar w:fldCharType="separate"/>
          </w:r>
          <w:r>
            <w:t>46</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"_Toc134984898" </w:instrText>
          </w:r>
          <w:r>
            <w:fldChar w:fldCharType="separate"/>
          </w:r>
          <w:r>
            <w:rPr>
              <w:rStyle w:val="21"/>
            </w:rPr>
            <w:t>（二）气象预警预报保障</w:t>
          </w:r>
          <w:r>
            <w:tab/>
          </w:r>
          <w:r>
            <w:fldChar w:fldCharType="begin"/>
          </w:r>
          <w:r>
            <w:instrText xml:space="preserve"> PAGEREF _Toc134984898 \h </w:instrText>
          </w:r>
          <w:r>
            <w:fldChar w:fldCharType="separate"/>
          </w:r>
          <w:r>
            <w:t>46</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"_Toc134984899" </w:instrText>
          </w:r>
          <w:r>
            <w:fldChar w:fldCharType="separate"/>
          </w:r>
          <w:r>
            <w:rPr>
              <w:rStyle w:val="21"/>
            </w:rPr>
            <w:t>（三）专业技术能力保障</w:t>
          </w:r>
          <w:r>
            <w:tab/>
          </w:r>
          <w:r>
            <w:fldChar w:fldCharType="begin"/>
          </w:r>
          <w:r>
            <w:instrText xml:space="preserve"> PAGEREF _Toc134984899 \h </w:instrText>
          </w:r>
          <w:r>
            <w:fldChar w:fldCharType="separate"/>
          </w:r>
          <w:r>
            <w:t>47</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"_Toc134984900" </w:instrText>
          </w:r>
          <w:r>
            <w:fldChar w:fldCharType="separate"/>
          </w:r>
          <w:r>
            <w:rPr>
              <w:rStyle w:val="21"/>
            </w:rPr>
            <w:t>（四）应急救援力量与装备保障</w:t>
          </w:r>
          <w:r>
            <w:tab/>
          </w:r>
          <w:r>
            <w:fldChar w:fldCharType="begin"/>
          </w:r>
          <w:r>
            <w:instrText xml:space="preserve"> PAGEREF _Toc134984900 \h </w:instrText>
          </w:r>
          <w:r>
            <w:fldChar w:fldCharType="separate"/>
          </w:r>
          <w:r>
            <w:t>47</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"_Toc134984901" </w:instrText>
          </w:r>
          <w:r>
            <w:fldChar w:fldCharType="separate"/>
          </w:r>
          <w:r>
            <w:rPr>
              <w:rStyle w:val="21"/>
            </w:rPr>
            <w:t>（五）通信与电力保障</w:t>
          </w:r>
          <w:r>
            <w:tab/>
          </w:r>
          <w:r>
            <w:fldChar w:fldCharType="begin"/>
          </w:r>
          <w:r>
            <w:instrText xml:space="preserve"> PAGEREF _Toc134984901 \h </w:instrText>
          </w:r>
          <w:r>
            <w:fldChar w:fldCharType="separate"/>
          </w:r>
          <w:r>
            <w:t>48</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"_Toc134984902" </w:instrText>
          </w:r>
          <w:r>
            <w:fldChar w:fldCharType="separate"/>
          </w:r>
          <w:r>
            <w:rPr>
              <w:rStyle w:val="21"/>
            </w:rPr>
            <w:t>（六）交通运输保障</w:t>
          </w:r>
          <w:r>
            <w:tab/>
          </w:r>
          <w:r>
            <w:fldChar w:fldCharType="begin"/>
          </w:r>
          <w:r>
            <w:instrText xml:space="preserve"> PAGEREF _Toc134984902 \h </w:instrText>
          </w:r>
          <w:r>
            <w:fldChar w:fldCharType="separate"/>
          </w:r>
          <w:r>
            <w:t>48</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"_Toc134984903" </w:instrText>
          </w:r>
          <w:r>
            <w:fldChar w:fldCharType="separate"/>
          </w:r>
          <w:r>
            <w:rPr>
              <w:rStyle w:val="21"/>
            </w:rPr>
            <w:t>（七）医疗卫生保障</w:t>
          </w:r>
          <w:r>
            <w:tab/>
          </w:r>
          <w:r>
            <w:fldChar w:fldCharType="begin"/>
          </w:r>
          <w:r>
            <w:instrText xml:space="preserve"> PAGEREF _Toc134984903 \h </w:instrText>
          </w:r>
          <w:r>
            <w:fldChar w:fldCharType="separate"/>
          </w:r>
          <w:r>
            <w:t>49</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"_Toc134984904" </w:instrText>
          </w:r>
          <w:r>
            <w:fldChar w:fldCharType="separate"/>
          </w:r>
          <w:r>
            <w:rPr>
              <w:rStyle w:val="21"/>
            </w:rPr>
            <w:t>（八）资金物资保障</w:t>
          </w:r>
          <w:r>
            <w:tab/>
          </w:r>
          <w:r>
            <w:fldChar w:fldCharType="begin"/>
          </w:r>
          <w:r>
            <w:instrText xml:space="preserve"> PAGEREF _Toc134984904 \h </w:instrText>
          </w:r>
          <w:r>
            <w:fldChar w:fldCharType="separate"/>
          </w:r>
          <w:r>
            <w:t>50</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"_Toc134984905" </w:instrText>
          </w:r>
          <w:r>
            <w:fldChar w:fldCharType="separate"/>
          </w:r>
          <w:r>
            <w:rPr>
              <w:rStyle w:val="21"/>
            </w:rPr>
            <w:t>（九）避灾场所</w:t>
          </w:r>
          <w:r>
            <w:tab/>
          </w:r>
          <w:r>
            <w:fldChar w:fldCharType="begin"/>
          </w:r>
          <w:r>
            <w:instrText xml:space="preserve"> PAGEREF _Toc134984905 \h </w:instrText>
          </w:r>
          <w:r>
            <w:fldChar w:fldCharType="separate"/>
          </w:r>
          <w:r>
            <w:t>51</w:t>
          </w:r>
          <w:r>
            <w:fldChar w:fldCharType="end"/>
          </w:r>
          <w:r>
            <w:fldChar w:fldCharType="end"/>
          </w:r>
        </w:p>
        <w:p>
          <w:pPr>
            <w:pStyle w:val="14"/>
            <w:tabs>
              <w:tab w:val="right" w:leader="dot" w:pos="8777"/>
            </w:tabs>
            <w:ind w:firstLine="480"/>
            <w:rPr>
              <w:rFonts w:asciiTheme="minorHAnsi" w:hAnsiTheme="minorHAnsi"/>
              <w:sz w:val="21"/>
            </w:rPr>
          </w:pPr>
          <w:r>
            <w:fldChar w:fldCharType="begin"/>
          </w:r>
          <w:r>
            <w:instrText xml:space="preserve"> HYPERLINK \l "_Toc134984906" </w:instrText>
          </w:r>
          <w:r>
            <w:fldChar w:fldCharType="separate"/>
          </w:r>
          <w:r>
            <w:rPr>
              <w:rStyle w:val="21"/>
            </w:rPr>
            <w:t>七、附则</w:t>
          </w:r>
          <w:r>
            <w:tab/>
          </w:r>
          <w:r>
            <w:fldChar w:fldCharType="begin"/>
          </w:r>
          <w:r>
            <w:instrText xml:space="preserve"> PAGEREF _Toc134984906 \h </w:instrText>
          </w:r>
          <w:r>
            <w:fldChar w:fldCharType="separate"/>
          </w:r>
          <w:r>
            <w:t>52</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"_Toc134984907" </w:instrText>
          </w:r>
          <w:r>
            <w:fldChar w:fldCharType="separate"/>
          </w:r>
          <w:r>
            <w:rPr>
              <w:rStyle w:val="21"/>
            </w:rPr>
            <w:t>（一）术语解释</w:t>
          </w:r>
          <w:r>
            <w:tab/>
          </w:r>
          <w:r>
            <w:fldChar w:fldCharType="begin"/>
          </w:r>
          <w:r>
            <w:instrText xml:space="preserve"> PAGEREF _Toc134984907 \h </w:instrText>
          </w:r>
          <w:r>
            <w:fldChar w:fldCharType="separate"/>
          </w:r>
          <w:r>
            <w:t>52</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"_Toc134984908" </w:instrText>
          </w:r>
          <w:r>
            <w:fldChar w:fldCharType="separate"/>
          </w:r>
          <w:r>
            <w:rPr>
              <w:rStyle w:val="21"/>
            </w:rPr>
            <w:t>（二）新闻报道</w:t>
          </w:r>
          <w:r>
            <w:tab/>
          </w:r>
          <w:r>
            <w:fldChar w:fldCharType="begin"/>
          </w:r>
          <w:r>
            <w:instrText xml:space="preserve"> PAGEREF _Toc134984908 \h </w:instrText>
          </w:r>
          <w:r>
            <w:fldChar w:fldCharType="separate"/>
          </w:r>
          <w:r>
            <w:t>52</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"_Toc134984909" </w:instrText>
          </w:r>
          <w:r>
            <w:fldChar w:fldCharType="separate"/>
          </w:r>
          <w:r>
            <w:rPr>
              <w:rStyle w:val="21"/>
            </w:rPr>
            <w:t>（三）奖励与追究责任</w:t>
          </w:r>
          <w:r>
            <w:tab/>
          </w:r>
          <w:r>
            <w:fldChar w:fldCharType="begin"/>
          </w:r>
          <w:r>
            <w:instrText xml:space="preserve"> PAGEREF _Toc134984909 \h </w:instrText>
          </w:r>
          <w:r>
            <w:fldChar w:fldCharType="separate"/>
          </w:r>
          <w:r>
            <w:t>52</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"_Toc134984910" </w:instrText>
          </w:r>
          <w:r>
            <w:fldChar w:fldCharType="separate"/>
          </w:r>
          <w:r>
            <w:rPr>
              <w:rStyle w:val="21"/>
            </w:rPr>
            <w:t>（四）预案管理与更新</w:t>
          </w:r>
          <w:r>
            <w:tab/>
          </w:r>
          <w:r>
            <w:fldChar w:fldCharType="begin"/>
          </w:r>
          <w:r>
            <w:instrText xml:space="preserve"> PAGEREF _Toc134984910 \h </w:instrText>
          </w:r>
          <w:r>
            <w:fldChar w:fldCharType="separate"/>
          </w:r>
          <w:r>
            <w:t>52</w:t>
          </w:r>
          <w:r>
            <w:fldChar w:fldCharType="end"/>
          </w:r>
          <w:r>
            <w:fldChar w:fldCharType="end"/>
          </w:r>
        </w:p>
        <w:p>
          <w:pPr>
            <w:pStyle w:val="15"/>
            <w:tabs>
              <w:tab w:val="right" w:leader="dot" w:pos="8777"/>
            </w:tabs>
            <w:ind w:left="480" w:firstLine="480"/>
            <w:rPr>
              <w:rFonts w:asciiTheme="minorHAnsi" w:hAnsiTheme="minorHAnsi"/>
              <w:sz w:val="21"/>
            </w:rPr>
          </w:pPr>
          <w:r>
            <w:fldChar w:fldCharType="begin"/>
          </w:r>
          <w:r>
            <w:instrText xml:space="preserve"> HYPERLINK \l "_Toc134984911" </w:instrText>
          </w:r>
          <w:r>
            <w:fldChar w:fldCharType="separate"/>
          </w:r>
          <w:r>
            <w:rPr>
              <w:rStyle w:val="21"/>
            </w:rPr>
            <w:t>（五）预案实施时间</w:t>
          </w:r>
          <w:r>
            <w:tab/>
          </w:r>
          <w:r>
            <w:fldChar w:fldCharType="begin"/>
          </w:r>
          <w:r>
            <w:instrText xml:space="preserve"> PAGEREF _Toc134984911 \h </w:instrText>
          </w:r>
          <w:r>
            <w:fldChar w:fldCharType="separate"/>
          </w:r>
          <w:r>
            <w:t>53</w:t>
          </w:r>
          <w:r>
            <w:fldChar w:fldCharType="end"/>
          </w:r>
          <w:r>
            <w:fldChar w:fldCharType="end"/>
          </w:r>
        </w:p>
        <w:p>
          <w:pPr>
            <w:pStyle w:val="14"/>
            <w:tabs>
              <w:tab w:val="right" w:leader="dot" w:pos="8777"/>
            </w:tabs>
            <w:ind w:firstLine="480"/>
            <w:rPr>
              <w:rFonts w:asciiTheme="minorHAnsi" w:hAnsiTheme="minorHAnsi"/>
              <w:sz w:val="21"/>
            </w:rPr>
          </w:pPr>
          <w:r>
            <w:fldChar w:fldCharType="begin"/>
          </w:r>
          <w:r>
            <w:instrText xml:space="preserve"> HYPERLINK \l "_Toc134984912" </w:instrText>
          </w:r>
          <w:r>
            <w:fldChar w:fldCharType="separate"/>
          </w:r>
          <w:r>
            <w:rPr>
              <w:rStyle w:val="21"/>
            </w:rPr>
            <w:t>八、附件</w:t>
          </w:r>
          <w:r>
            <w:tab/>
          </w:r>
          <w:r>
            <w:fldChar w:fldCharType="begin"/>
          </w:r>
          <w:r>
            <w:instrText xml:space="preserve"> PAGEREF _Toc134984912 \h </w:instrText>
          </w:r>
          <w:r>
            <w:fldChar w:fldCharType="separate"/>
          </w:r>
          <w:r>
            <w:t>54</w:t>
          </w:r>
          <w:r>
            <w:fldChar w:fldCharType="end"/>
          </w:r>
          <w:r>
            <w:fldChar w:fldCharType="end"/>
          </w:r>
        </w:p>
        <w:p>
          <w:pPr>
            <w:ind w:firstLine="482"/>
          </w:pPr>
          <w:r>
            <w:rPr>
              <w:b/>
              <w:bCs/>
              <w:lang w:val="zh-CN"/>
            </w:rPr>
            <w:fldChar w:fldCharType="end"/>
          </w:r>
        </w:p>
      </w:sdtContent>
    </w:sdt>
    <w:p>
      <w:pPr>
        <w:ind w:firstLine="480"/>
        <w:rPr>
          <w:highlight w:val="yellow"/>
        </w:rPr>
      </w:pPr>
    </w:p>
    <w:p>
      <w:pPr>
        <w:pStyle w:val="22"/>
        <w:ind w:firstLine="560"/>
        <w:rPr>
          <w:highlight w:val="yellow"/>
        </w:rPr>
        <w:sectPr>
          <w:footerReference r:id="rId11" w:type="default"/>
          <w:pgSz w:w="11906" w:h="16838"/>
          <w:pgMar w:top="1418" w:right="1418" w:bottom="1418" w:left="1701" w:header="851" w:footer="992" w:gutter="0"/>
          <w:pgNumType w:fmt="upperRoman" w:start="1"/>
          <w:cols w:space="425" w:num="1"/>
          <w:docGrid w:linePitch="312" w:charSpace="0"/>
        </w:sectPr>
      </w:pPr>
    </w:p>
    <w:p>
      <w:pPr>
        <w:pStyle w:val="2"/>
        <w:topLinePunct/>
        <w:spacing w:line="240" w:lineRule="auto"/>
        <w:ind w:firstLine="0" w:firstLineChars="0"/>
        <w:jc w:val="center"/>
      </w:pPr>
      <w:bookmarkStart w:id="0" w:name="_Toc133666638"/>
      <w:bookmarkStart w:id="1" w:name="_Toc134984844"/>
      <w:r>
        <w:rPr>
          <w:rFonts w:hint="eastAsia"/>
        </w:rPr>
        <w:t>一、总则</w:t>
      </w:r>
      <w:bookmarkEnd w:id="0"/>
      <w:bookmarkEnd w:id="1"/>
    </w:p>
    <w:p>
      <w:pPr>
        <w:pStyle w:val="3"/>
        <w:topLinePunct/>
        <w:ind w:firstLine="0" w:firstLineChars="0"/>
      </w:pPr>
      <w:bookmarkStart w:id="2" w:name="_Toc133666639"/>
      <w:bookmarkStart w:id="3" w:name="_Toc134984845"/>
      <w:r>
        <w:rPr>
          <w:rFonts w:hint="eastAsia"/>
        </w:rPr>
        <w:t>（一）指导思想</w:t>
      </w:r>
      <w:bookmarkEnd w:id="2"/>
      <w:bookmarkEnd w:id="3"/>
    </w:p>
    <w:p>
      <w:pPr>
        <w:topLinePunct/>
        <w:ind w:firstLine="560"/>
        <w:rPr>
          <w:rFonts w:asciiTheme="minorHAnsi" w:hAnsiTheme="minorHAnsi"/>
          <w:sz w:val="28"/>
          <w:szCs w:val="28"/>
          <w:highlight w:val="yellow"/>
        </w:rPr>
      </w:pPr>
      <w:r>
        <w:rPr>
          <w:rFonts w:hint="eastAsia"/>
          <w:sz w:val="28"/>
          <w:szCs w:val="28"/>
        </w:rPr>
        <w:t>以习近平新时代中国特色社会主义思想为指导，认真贯彻落实习近平总书记关于防灾减灾救灾工作重要指示精神，坚持“人民至上、生命至上”，增强底线思维和风险意识，坚持以防为主，防抗救相结合，坚决做到统一指挥、及时预警、有序应对、高效联动，强化临机处置，果断避险转移，杜绝发生群死群伤，保证城市运行安全和人民群众生命财产安全，最大限度减轻暴雨洪涝灾害损失。</w:t>
      </w:r>
    </w:p>
    <w:p>
      <w:pPr>
        <w:pStyle w:val="3"/>
        <w:topLinePunct/>
        <w:ind w:firstLine="0" w:firstLineChars="0"/>
      </w:pPr>
      <w:bookmarkStart w:id="4" w:name="_Toc133666640"/>
      <w:bookmarkStart w:id="5" w:name="_Toc134984846"/>
      <w:r>
        <w:rPr>
          <w:rFonts w:hint="eastAsia"/>
        </w:rPr>
        <w:t>（二）编制目的</w:t>
      </w:r>
      <w:bookmarkEnd w:id="4"/>
      <w:bookmarkEnd w:id="5"/>
    </w:p>
    <w:p>
      <w:pPr>
        <w:topLinePunct/>
        <w:ind w:firstLine="560"/>
        <w:rPr>
          <w:rFonts w:asciiTheme="minorHAnsi" w:hAnsiTheme="minorHAnsi"/>
          <w:sz w:val="28"/>
          <w:szCs w:val="28"/>
        </w:rPr>
      </w:pPr>
      <w:r>
        <w:rPr>
          <w:rFonts w:hint="eastAsia"/>
          <w:sz w:val="28"/>
          <w:szCs w:val="28"/>
        </w:rPr>
        <w:t>总结类似郑州“</w:t>
      </w:r>
      <w:r>
        <w:rPr>
          <w:sz w:val="28"/>
          <w:szCs w:val="28"/>
        </w:rPr>
        <w:t>7.20</w:t>
      </w:r>
      <w:r>
        <w:rPr>
          <w:rFonts w:hint="eastAsia"/>
          <w:sz w:val="28"/>
          <w:szCs w:val="28"/>
        </w:rPr>
        <w:t>”特大暴雨灾害的抢险工作经验和存在的主要问题，充分发挥现有排水防涝设施设备、人员装备的作用，规范大冶市城市极端降雨灾害应对处置工作要求，有效应对极端降雨灾害，保证城市抢险救灾工作高效有序进行，最大限度减少人员伤亡和灾害损失，切实维护人民群众的生命和财产安全。</w:t>
      </w:r>
    </w:p>
    <w:p>
      <w:pPr>
        <w:pStyle w:val="3"/>
        <w:topLinePunct/>
        <w:ind w:firstLine="0" w:firstLineChars="0"/>
      </w:pPr>
      <w:bookmarkStart w:id="6" w:name="_Toc133666641"/>
      <w:bookmarkStart w:id="7" w:name="_Toc134984847"/>
      <w:r>
        <w:rPr>
          <w:rFonts w:hint="eastAsia"/>
        </w:rPr>
        <w:t>（三）编制依据</w:t>
      </w:r>
      <w:bookmarkEnd w:id="6"/>
      <w:bookmarkEnd w:id="7"/>
    </w:p>
    <w:p>
      <w:pPr>
        <w:pStyle w:val="25"/>
        <w:topLinePunct/>
        <w:ind w:firstLine="560"/>
        <w:rPr>
          <w:sz w:val="28"/>
          <w:szCs w:val="28"/>
        </w:rPr>
      </w:pPr>
      <w:r>
        <w:rPr>
          <w:sz w:val="28"/>
          <w:szCs w:val="28"/>
        </w:rPr>
        <w:t>1</w:t>
      </w:r>
      <w:r>
        <w:rPr>
          <w:rFonts w:hint="eastAsia"/>
          <w:sz w:val="28"/>
          <w:szCs w:val="28"/>
        </w:rPr>
        <w:t>、法律、法规和有关规定</w:t>
      </w:r>
    </w:p>
    <w:p>
      <w:pPr>
        <w:topLinePunct/>
        <w:ind w:firstLine="560"/>
        <w:rPr>
          <w:sz w:val="28"/>
          <w:szCs w:val="28"/>
        </w:rPr>
      </w:pPr>
      <w:r>
        <w:rPr>
          <w:rFonts w:hint="eastAsia"/>
          <w:sz w:val="28"/>
          <w:szCs w:val="28"/>
        </w:rPr>
        <w:t>（</w:t>
      </w:r>
      <w:r>
        <w:rPr>
          <w:sz w:val="28"/>
          <w:szCs w:val="28"/>
        </w:rPr>
        <w:t>1</w:t>
      </w:r>
      <w:r>
        <w:rPr>
          <w:rFonts w:hint="eastAsia"/>
          <w:sz w:val="28"/>
          <w:szCs w:val="28"/>
        </w:rPr>
        <w:t>）《中华人民共和国突发事件应对法》（</w:t>
      </w:r>
      <w:r>
        <w:rPr>
          <w:sz w:val="28"/>
          <w:szCs w:val="28"/>
        </w:rPr>
        <w:t>2007</w:t>
      </w:r>
      <w:r>
        <w:rPr>
          <w:rFonts w:hint="eastAsia"/>
          <w:sz w:val="28"/>
          <w:szCs w:val="28"/>
        </w:rPr>
        <w:t>年施行）；</w:t>
      </w:r>
    </w:p>
    <w:p>
      <w:pPr>
        <w:topLinePunct/>
        <w:ind w:firstLine="560"/>
        <w:rPr>
          <w:sz w:val="28"/>
          <w:szCs w:val="28"/>
        </w:rPr>
      </w:pPr>
      <w:r>
        <w:rPr>
          <w:rFonts w:hint="eastAsia"/>
          <w:sz w:val="28"/>
          <w:szCs w:val="28"/>
        </w:rPr>
        <w:t>（</w:t>
      </w:r>
      <w:r>
        <w:rPr>
          <w:sz w:val="28"/>
          <w:szCs w:val="28"/>
        </w:rPr>
        <w:t>2</w:t>
      </w:r>
      <w:r>
        <w:rPr>
          <w:rFonts w:hint="eastAsia"/>
          <w:sz w:val="28"/>
          <w:szCs w:val="28"/>
        </w:rPr>
        <w:t>）《中华人民共和国水法》（</w:t>
      </w:r>
      <w:r>
        <w:rPr>
          <w:sz w:val="28"/>
          <w:szCs w:val="28"/>
        </w:rPr>
        <w:t>2016</w:t>
      </w:r>
      <w:r>
        <w:rPr>
          <w:rFonts w:hint="eastAsia"/>
          <w:sz w:val="28"/>
          <w:szCs w:val="28"/>
        </w:rPr>
        <w:t>年修改）；</w:t>
      </w:r>
    </w:p>
    <w:p>
      <w:pPr>
        <w:topLinePunct/>
        <w:ind w:firstLine="560"/>
        <w:rPr>
          <w:sz w:val="28"/>
          <w:szCs w:val="28"/>
        </w:rPr>
      </w:pPr>
      <w:r>
        <w:rPr>
          <w:rFonts w:hint="eastAsia"/>
          <w:sz w:val="28"/>
          <w:szCs w:val="28"/>
        </w:rPr>
        <w:t>（</w:t>
      </w:r>
      <w:r>
        <w:rPr>
          <w:sz w:val="28"/>
          <w:szCs w:val="28"/>
        </w:rPr>
        <w:t>3</w:t>
      </w:r>
      <w:r>
        <w:rPr>
          <w:rFonts w:hint="eastAsia"/>
          <w:sz w:val="28"/>
          <w:szCs w:val="28"/>
        </w:rPr>
        <w:t>）《中华人民共和国防洪法》（</w:t>
      </w:r>
      <w:r>
        <w:rPr>
          <w:sz w:val="28"/>
          <w:szCs w:val="28"/>
        </w:rPr>
        <w:t>2016</w:t>
      </w:r>
      <w:r>
        <w:rPr>
          <w:rFonts w:hint="eastAsia"/>
          <w:sz w:val="28"/>
          <w:szCs w:val="28"/>
        </w:rPr>
        <w:t>年修正）；</w:t>
      </w:r>
    </w:p>
    <w:p>
      <w:pPr>
        <w:topLinePunct/>
        <w:ind w:firstLine="560"/>
        <w:rPr>
          <w:sz w:val="28"/>
          <w:szCs w:val="28"/>
        </w:rPr>
      </w:pPr>
      <w:r>
        <w:rPr>
          <w:rFonts w:hint="eastAsia"/>
          <w:sz w:val="28"/>
          <w:szCs w:val="28"/>
        </w:rPr>
        <w:t>（</w:t>
      </w:r>
      <w:r>
        <w:rPr>
          <w:sz w:val="28"/>
          <w:szCs w:val="28"/>
        </w:rPr>
        <w:t>4</w:t>
      </w:r>
      <w:r>
        <w:rPr>
          <w:rFonts w:hint="eastAsia"/>
          <w:sz w:val="28"/>
          <w:szCs w:val="28"/>
        </w:rPr>
        <w:t>）《中华人民共和国防汛条例》（</w:t>
      </w:r>
      <w:r>
        <w:rPr>
          <w:sz w:val="28"/>
          <w:szCs w:val="28"/>
        </w:rPr>
        <w:t>2011</w:t>
      </w:r>
      <w:r>
        <w:rPr>
          <w:rFonts w:hint="eastAsia"/>
          <w:sz w:val="28"/>
          <w:szCs w:val="28"/>
        </w:rPr>
        <w:t>年修订）；</w:t>
      </w:r>
    </w:p>
    <w:p>
      <w:pPr>
        <w:topLinePunct/>
        <w:ind w:firstLine="560"/>
        <w:rPr>
          <w:sz w:val="28"/>
          <w:szCs w:val="28"/>
        </w:rPr>
      </w:pPr>
      <w:r>
        <w:rPr>
          <w:rFonts w:hint="eastAsia"/>
          <w:sz w:val="28"/>
          <w:szCs w:val="28"/>
        </w:rPr>
        <w:t>（</w:t>
      </w:r>
      <w:r>
        <w:rPr>
          <w:sz w:val="28"/>
          <w:szCs w:val="28"/>
        </w:rPr>
        <w:t>5</w:t>
      </w:r>
      <w:r>
        <w:rPr>
          <w:rFonts w:hint="eastAsia"/>
          <w:sz w:val="28"/>
          <w:szCs w:val="28"/>
        </w:rPr>
        <w:t>）《城镇排水与污水处理条例》（</w:t>
      </w:r>
      <w:r>
        <w:rPr>
          <w:sz w:val="28"/>
          <w:szCs w:val="28"/>
        </w:rPr>
        <w:t>2014</w:t>
      </w:r>
      <w:r>
        <w:rPr>
          <w:rFonts w:hint="eastAsia"/>
          <w:sz w:val="28"/>
          <w:szCs w:val="28"/>
        </w:rPr>
        <w:t>年施行）；</w:t>
      </w:r>
    </w:p>
    <w:p>
      <w:pPr>
        <w:topLinePunct/>
        <w:ind w:firstLine="560"/>
        <w:rPr>
          <w:sz w:val="28"/>
          <w:szCs w:val="28"/>
        </w:rPr>
      </w:pPr>
      <w:r>
        <w:rPr>
          <w:rFonts w:hint="eastAsia"/>
          <w:sz w:val="28"/>
          <w:szCs w:val="28"/>
        </w:rPr>
        <w:t>（</w:t>
      </w:r>
      <w:r>
        <w:rPr>
          <w:sz w:val="28"/>
          <w:szCs w:val="28"/>
        </w:rPr>
        <w:t>6</w:t>
      </w:r>
      <w:r>
        <w:rPr>
          <w:rFonts w:hint="eastAsia"/>
          <w:sz w:val="28"/>
          <w:szCs w:val="28"/>
        </w:rPr>
        <w:t>）《湖北省实施〈中华人民共和国防洪法〉办法》（</w:t>
      </w:r>
      <w:r>
        <w:rPr>
          <w:sz w:val="28"/>
          <w:szCs w:val="28"/>
        </w:rPr>
        <w:t>2021</w:t>
      </w:r>
      <w:r>
        <w:rPr>
          <w:rFonts w:hint="eastAsia"/>
          <w:sz w:val="28"/>
          <w:szCs w:val="28"/>
        </w:rPr>
        <w:t>年修正）；</w:t>
      </w:r>
    </w:p>
    <w:p>
      <w:pPr>
        <w:topLinePunct/>
        <w:ind w:firstLine="560"/>
        <w:rPr>
          <w:sz w:val="28"/>
          <w:szCs w:val="28"/>
        </w:rPr>
      </w:pPr>
      <w:r>
        <w:rPr>
          <w:rFonts w:hint="eastAsia"/>
          <w:sz w:val="28"/>
          <w:szCs w:val="28"/>
        </w:rPr>
        <w:t>（</w:t>
      </w:r>
      <w:r>
        <w:rPr>
          <w:sz w:val="28"/>
          <w:szCs w:val="28"/>
        </w:rPr>
        <w:t>7</w:t>
      </w:r>
      <w:r>
        <w:rPr>
          <w:rFonts w:hint="eastAsia"/>
          <w:sz w:val="28"/>
          <w:szCs w:val="28"/>
        </w:rPr>
        <w:t>）《关于进一步规范极端降雨城市内涝应急预案编制工作的通知》（湖北省住房和城乡建设厅，</w:t>
      </w:r>
      <w:r>
        <w:rPr>
          <w:rFonts w:asciiTheme="minorEastAsia" w:hAnsiTheme="minorEastAsia"/>
          <w:sz w:val="28"/>
          <w:szCs w:val="28"/>
        </w:rPr>
        <w:t>[</w:t>
      </w:r>
      <w:r>
        <w:rPr>
          <w:sz w:val="28"/>
          <w:szCs w:val="28"/>
        </w:rPr>
        <w:t>2022</w:t>
      </w:r>
      <w:r>
        <w:rPr>
          <w:rFonts w:asciiTheme="minorEastAsia" w:hAnsiTheme="minorEastAsia"/>
          <w:sz w:val="28"/>
          <w:szCs w:val="28"/>
        </w:rPr>
        <w:t>]</w:t>
      </w:r>
      <w:r>
        <w:rPr>
          <w:sz w:val="28"/>
          <w:szCs w:val="28"/>
        </w:rPr>
        <w:t>737</w:t>
      </w:r>
      <w:r>
        <w:rPr>
          <w:rFonts w:hint="eastAsia"/>
          <w:sz w:val="28"/>
          <w:szCs w:val="28"/>
        </w:rPr>
        <w:t>号）；</w:t>
      </w:r>
    </w:p>
    <w:p>
      <w:pPr>
        <w:topLinePunct/>
        <w:ind w:firstLine="560"/>
        <w:rPr>
          <w:sz w:val="28"/>
          <w:szCs w:val="28"/>
        </w:rPr>
      </w:pPr>
      <w:r>
        <w:rPr>
          <w:rFonts w:hint="eastAsia"/>
          <w:sz w:val="28"/>
          <w:szCs w:val="28"/>
        </w:rPr>
        <w:t>（</w:t>
      </w:r>
      <w:r>
        <w:rPr>
          <w:sz w:val="28"/>
          <w:szCs w:val="28"/>
        </w:rPr>
        <w:t>8</w:t>
      </w:r>
      <w:r>
        <w:rPr>
          <w:rFonts w:hint="eastAsia"/>
          <w:sz w:val="28"/>
          <w:szCs w:val="28"/>
        </w:rPr>
        <w:t>）《关于做好城市超标准降雨内涝应急预案备案工作的通知》（湖北省住房和城乡建设厅，</w:t>
      </w:r>
      <w:r>
        <w:rPr>
          <w:sz w:val="28"/>
          <w:szCs w:val="28"/>
        </w:rPr>
        <w:t>2022</w:t>
      </w:r>
      <w:r>
        <w:rPr>
          <w:rFonts w:hint="eastAsia"/>
          <w:sz w:val="28"/>
          <w:szCs w:val="28"/>
        </w:rPr>
        <w:t>年</w:t>
      </w:r>
      <w:r>
        <w:rPr>
          <w:sz w:val="28"/>
          <w:szCs w:val="28"/>
        </w:rPr>
        <w:t>4</w:t>
      </w:r>
      <w:r>
        <w:rPr>
          <w:rFonts w:hint="eastAsia"/>
          <w:sz w:val="28"/>
          <w:szCs w:val="28"/>
        </w:rPr>
        <w:t>月</w:t>
      </w:r>
      <w:r>
        <w:rPr>
          <w:sz w:val="28"/>
          <w:szCs w:val="28"/>
        </w:rPr>
        <w:t>23</w:t>
      </w:r>
      <w:r>
        <w:rPr>
          <w:rFonts w:hint="eastAsia"/>
          <w:sz w:val="28"/>
          <w:szCs w:val="28"/>
        </w:rPr>
        <w:t>日）。</w:t>
      </w:r>
    </w:p>
    <w:p>
      <w:pPr>
        <w:pStyle w:val="25"/>
        <w:topLinePunct/>
        <w:ind w:firstLine="560"/>
        <w:rPr>
          <w:sz w:val="28"/>
          <w:szCs w:val="28"/>
        </w:rPr>
      </w:pPr>
      <w:r>
        <w:rPr>
          <w:sz w:val="28"/>
          <w:szCs w:val="28"/>
        </w:rPr>
        <w:t>2</w:t>
      </w:r>
      <w:r>
        <w:rPr>
          <w:rFonts w:hint="eastAsia"/>
          <w:sz w:val="28"/>
          <w:szCs w:val="28"/>
        </w:rPr>
        <w:t>、技术规范和技术标准</w:t>
      </w:r>
    </w:p>
    <w:p>
      <w:pPr>
        <w:topLinePunct/>
        <w:ind w:firstLine="560"/>
        <w:rPr>
          <w:sz w:val="28"/>
          <w:szCs w:val="28"/>
        </w:rPr>
      </w:pPr>
      <w:r>
        <w:rPr>
          <w:rFonts w:hint="eastAsia"/>
          <w:sz w:val="28"/>
          <w:szCs w:val="28"/>
        </w:rPr>
        <w:t>（</w:t>
      </w:r>
      <w:r>
        <w:rPr>
          <w:sz w:val="28"/>
          <w:szCs w:val="28"/>
        </w:rPr>
        <w:t>1</w:t>
      </w:r>
      <w:r>
        <w:rPr>
          <w:rFonts w:hint="eastAsia"/>
          <w:sz w:val="28"/>
          <w:szCs w:val="28"/>
        </w:rPr>
        <w:t>）《城市防洪应急预案编制导则》（</w:t>
      </w:r>
      <w:r>
        <w:rPr>
          <w:sz w:val="28"/>
          <w:szCs w:val="28"/>
        </w:rPr>
        <w:t>SL 754-2017</w:t>
      </w:r>
      <w:r>
        <w:rPr>
          <w:rFonts w:hint="eastAsia"/>
          <w:sz w:val="28"/>
          <w:szCs w:val="28"/>
        </w:rPr>
        <w:t>）；</w:t>
      </w:r>
    </w:p>
    <w:p>
      <w:pPr>
        <w:topLinePunct/>
        <w:ind w:firstLine="560"/>
        <w:rPr>
          <w:sz w:val="28"/>
          <w:szCs w:val="28"/>
        </w:rPr>
      </w:pPr>
      <w:r>
        <w:rPr>
          <w:rFonts w:hint="eastAsia"/>
          <w:sz w:val="28"/>
          <w:szCs w:val="28"/>
        </w:rPr>
        <w:t>（</w:t>
      </w:r>
      <w:r>
        <w:rPr>
          <w:sz w:val="28"/>
          <w:szCs w:val="28"/>
        </w:rPr>
        <w:t>2</w:t>
      </w:r>
      <w:r>
        <w:rPr>
          <w:rFonts w:hint="eastAsia"/>
          <w:sz w:val="28"/>
          <w:szCs w:val="28"/>
        </w:rPr>
        <w:t>）《室外排水设计标准》（</w:t>
      </w:r>
      <w:r>
        <w:rPr>
          <w:sz w:val="28"/>
          <w:szCs w:val="28"/>
        </w:rPr>
        <w:t>GB 50014-2021</w:t>
      </w:r>
      <w:r>
        <w:rPr>
          <w:rFonts w:hint="eastAsia"/>
          <w:sz w:val="28"/>
          <w:szCs w:val="28"/>
        </w:rPr>
        <w:t>）；</w:t>
      </w:r>
    </w:p>
    <w:p>
      <w:pPr>
        <w:topLinePunct/>
        <w:ind w:firstLine="560"/>
        <w:rPr>
          <w:sz w:val="28"/>
          <w:szCs w:val="28"/>
        </w:rPr>
      </w:pPr>
      <w:r>
        <w:rPr>
          <w:rFonts w:hint="eastAsia"/>
          <w:sz w:val="28"/>
          <w:szCs w:val="28"/>
        </w:rPr>
        <w:t>（</w:t>
      </w:r>
      <w:r>
        <w:rPr>
          <w:sz w:val="28"/>
          <w:szCs w:val="28"/>
        </w:rPr>
        <w:t>3</w:t>
      </w:r>
      <w:r>
        <w:rPr>
          <w:rFonts w:hint="eastAsia"/>
          <w:sz w:val="28"/>
          <w:szCs w:val="28"/>
        </w:rPr>
        <w:t>）《防洪标准》（</w:t>
      </w:r>
      <w:r>
        <w:rPr>
          <w:sz w:val="28"/>
          <w:szCs w:val="28"/>
        </w:rPr>
        <w:t>GB 50201-2014</w:t>
      </w:r>
      <w:r>
        <w:rPr>
          <w:rFonts w:hint="eastAsia"/>
          <w:sz w:val="28"/>
          <w:szCs w:val="28"/>
        </w:rPr>
        <w:t>）；</w:t>
      </w:r>
    </w:p>
    <w:p>
      <w:pPr>
        <w:topLinePunct/>
        <w:ind w:firstLine="560"/>
        <w:rPr>
          <w:sz w:val="28"/>
          <w:szCs w:val="28"/>
        </w:rPr>
      </w:pPr>
      <w:r>
        <w:rPr>
          <w:rFonts w:hint="eastAsia"/>
          <w:sz w:val="28"/>
          <w:szCs w:val="28"/>
        </w:rPr>
        <w:t>（</w:t>
      </w:r>
      <w:r>
        <w:rPr>
          <w:sz w:val="28"/>
          <w:szCs w:val="28"/>
        </w:rPr>
        <w:t>4</w:t>
      </w:r>
      <w:r>
        <w:rPr>
          <w:rFonts w:hint="eastAsia"/>
          <w:sz w:val="28"/>
          <w:szCs w:val="28"/>
        </w:rPr>
        <w:t>）《城市防洪规划规范》（</w:t>
      </w:r>
      <w:r>
        <w:rPr>
          <w:sz w:val="28"/>
          <w:szCs w:val="28"/>
        </w:rPr>
        <w:t>GB 51079-2016</w:t>
      </w:r>
      <w:r>
        <w:rPr>
          <w:rFonts w:hint="eastAsia"/>
          <w:sz w:val="28"/>
          <w:szCs w:val="28"/>
        </w:rPr>
        <w:t>）；</w:t>
      </w:r>
    </w:p>
    <w:p>
      <w:pPr>
        <w:topLinePunct/>
        <w:ind w:firstLine="560"/>
        <w:rPr>
          <w:sz w:val="28"/>
          <w:szCs w:val="28"/>
        </w:rPr>
      </w:pPr>
      <w:r>
        <w:rPr>
          <w:rFonts w:hint="eastAsia"/>
          <w:sz w:val="28"/>
          <w:szCs w:val="28"/>
        </w:rPr>
        <w:t>（</w:t>
      </w:r>
      <w:r>
        <w:rPr>
          <w:sz w:val="28"/>
          <w:szCs w:val="28"/>
        </w:rPr>
        <w:t>5</w:t>
      </w:r>
      <w:r>
        <w:rPr>
          <w:rFonts w:hint="eastAsia"/>
          <w:sz w:val="28"/>
          <w:szCs w:val="28"/>
        </w:rPr>
        <w:t>）《城镇内涝防治技术规范》（</w:t>
      </w:r>
      <w:r>
        <w:rPr>
          <w:sz w:val="28"/>
          <w:szCs w:val="28"/>
        </w:rPr>
        <w:t>GB 51222-2017</w:t>
      </w:r>
      <w:r>
        <w:rPr>
          <w:rFonts w:hint="eastAsia"/>
          <w:sz w:val="28"/>
          <w:szCs w:val="28"/>
        </w:rPr>
        <w:t>）；</w:t>
      </w:r>
    </w:p>
    <w:p>
      <w:pPr>
        <w:topLinePunct/>
        <w:ind w:firstLine="560"/>
        <w:rPr>
          <w:sz w:val="28"/>
          <w:szCs w:val="28"/>
        </w:rPr>
      </w:pPr>
      <w:r>
        <w:rPr>
          <w:rFonts w:hint="eastAsia"/>
          <w:sz w:val="28"/>
          <w:szCs w:val="28"/>
        </w:rPr>
        <w:t>（</w:t>
      </w:r>
      <w:r>
        <w:rPr>
          <w:sz w:val="28"/>
          <w:szCs w:val="28"/>
        </w:rPr>
        <w:t>6</w:t>
      </w:r>
      <w:r>
        <w:rPr>
          <w:rFonts w:hint="eastAsia"/>
          <w:sz w:val="28"/>
          <w:szCs w:val="28"/>
        </w:rPr>
        <w:t>）《城市防洪工程设计规范》（</w:t>
      </w:r>
      <w:r>
        <w:rPr>
          <w:sz w:val="28"/>
          <w:szCs w:val="28"/>
        </w:rPr>
        <w:t>GB/T 50805-2012</w:t>
      </w:r>
      <w:r>
        <w:rPr>
          <w:rFonts w:hint="eastAsia"/>
          <w:sz w:val="28"/>
          <w:szCs w:val="28"/>
        </w:rPr>
        <w:t>）。</w:t>
      </w:r>
    </w:p>
    <w:p>
      <w:pPr>
        <w:pStyle w:val="25"/>
        <w:topLinePunct/>
        <w:ind w:firstLine="560"/>
        <w:rPr>
          <w:sz w:val="28"/>
          <w:szCs w:val="28"/>
        </w:rPr>
      </w:pPr>
      <w:r>
        <w:rPr>
          <w:sz w:val="28"/>
          <w:szCs w:val="28"/>
        </w:rPr>
        <w:t>3</w:t>
      </w:r>
      <w:r>
        <w:rPr>
          <w:rFonts w:hint="eastAsia"/>
          <w:sz w:val="28"/>
          <w:szCs w:val="28"/>
        </w:rPr>
        <w:t>、文件材料和技术报告</w:t>
      </w:r>
    </w:p>
    <w:p>
      <w:pPr>
        <w:topLinePunct/>
        <w:ind w:firstLine="560"/>
        <w:rPr>
          <w:sz w:val="28"/>
          <w:szCs w:val="28"/>
        </w:rPr>
      </w:pPr>
      <w:r>
        <w:rPr>
          <w:rFonts w:hint="eastAsia"/>
          <w:sz w:val="28"/>
          <w:szCs w:val="28"/>
        </w:rPr>
        <w:t>（</w:t>
      </w:r>
      <w:r>
        <w:rPr>
          <w:sz w:val="28"/>
          <w:szCs w:val="28"/>
        </w:rPr>
        <w:t>1</w:t>
      </w:r>
      <w:r>
        <w:rPr>
          <w:rFonts w:hint="eastAsia"/>
          <w:sz w:val="28"/>
          <w:szCs w:val="28"/>
        </w:rPr>
        <w:t>）《湖北省住建系统城市排水防涝应急预案（试行）》；</w:t>
      </w:r>
    </w:p>
    <w:p>
      <w:pPr>
        <w:topLinePunct/>
        <w:ind w:firstLine="560"/>
        <w:rPr>
          <w:sz w:val="28"/>
          <w:szCs w:val="28"/>
        </w:rPr>
      </w:pPr>
      <w:r>
        <w:rPr>
          <w:rFonts w:hint="eastAsia"/>
          <w:sz w:val="28"/>
          <w:szCs w:val="28"/>
        </w:rPr>
        <w:t>（</w:t>
      </w:r>
      <w:r>
        <w:rPr>
          <w:sz w:val="28"/>
          <w:szCs w:val="28"/>
        </w:rPr>
        <w:t>2</w:t>
      </w:r>
      <w:r>
        <w:rPr>
          <w:rFonts w:hint="eastAsia"/>
          <w:sz w:val="28"/>
          <w:szCs w:val="28"/>
        </w:rPr>
        <w:t>）《黄石市突发公共事件总体应急预案》；</w:t>
      </w:r>
    </w:p>
    <w:p>
      <w:pPr>
        <w:topLinePunct/>
        <w:ind w:firstLine="560"/>
        <w:rPr>
          <w:sz w:val="28"/>
          <w:szCs w:val="28"/>
        </w:rPr>
      </w:pPr>
      <w:r>
        <w:rPr>
          <w:rFonts w:hint="eastAsia"/>
          <w:sz w:val="28"/>
          <w:szCs w:val="28"/>
        </w:rPr>
        <w:t>（</w:t>
      </w:r>
      <w:r>
        <w:rPr>
          <w:sz w:val="28"/>
          <w:szCs w:val="28"/>
        </w:rPr>
        <w:t>3</w:t>
      </w:r>
      <w:r>
        <w:rPr>
          <w:rFonts w:hint="eastAsia"/>
          <w:sz w:val="28"/>
          <w:szCs w:val="28"/>
        </w:rPr>
        <w:t>）《黄石市防汛抗旱应急预案》；</w:t>
      </w:r>
    </w:p>
    <w:p>
      <w:pPr>
        <w:topLinePunct/>
        <w:ind w:firstLine="560"/>
        <w:rPr>
          <w:sz w:val="28"/>
          <w:szCs w:val="28"/>
        </w:rPr>
      </w:pPr>
      <w:r>
        <w:rPr>
          <w:rFonts w:hint="eastAsia"/>
          <w:sz w:val="28"/>
          <w:szCs w:val="28"/>
        </w:rPr>
        <w:t>（</w:t>
      </w:r>
      <w:r>
        <w:rPr>
          <w:sz w:val="28"/>
          <w:szCs w:val="28"/>
        </w:rPr>
        <w:t>4</w:t>
      </w:r>
      <w:r>
        <w:rPr>
          <w:rFonts w:hint="eastAsia"/>
          <w:sz w:val="28"/>
          <w:szCs w:val="28"/>
        </w:rPr>
        <w:t>）《黄石市防汛抗旱指挥部灾害性降雨天气快速响应预案》；</w:t>
      </w:r>
    </w:p>
    <w:p>
      <w:pPr>
        <w:topLinePunct/>
        <w:ind w:firstLine="560"/>
        <w:rPr>
          <w:sz w:val="28"/>
          <w:szCs w:val="28"/>
        </w:rPr>
      </w:pPr>
      <w:r>
        <w:rPr>
          <w:rFonts w:hint="eastAsia"/>
          <w:sz w:val="28"/>
          <w:szCs w:val="28"/>
        </w:rPr>
        <w:t>（5）《大冶市突发事件总体应急预案》；</w:t>
      </w:r>
    </w:p>
    <w:p>
      <w:pPr>
        <w:topLinePunct/>
        <w:ind w:firstLine="560"/>
        <w:rPr>
          <w:sz w:val="28"/>
          <w:szCs w:val="28"/>
        </w:rPr>
      </w:pPr>
      <w:r>
        <w:rPr>
          <w:rFonts w:hint="eastAsia"/>
          <w:sz w:val="28"/>
          <w:szCs w:val="28"/>
        </w:rPr>
        <w:t>（</w:t>
      </w:r>
      <w:r>
        <w:rPr>
          <w:sz w:val="28"/>
          <w:szCs w:val="28"/>
        </w:rPr>
        <w:t>6</w:t>
      </w:r>
      <w:r>
        <w:rPr>
          <w:rFonts w:hint="eastAsia"/>
          <w:sz w:val="28"/>
          <w:szCs w:val="28"/>
        </w:rPr>
        <w:t>）《大冶市气象灾害应急预案》；</w:t>
      </w:r>
    </w:p>
    <w:p>
      <w:pPr>
        <w:topLinePunct/>
        <w:ind w:firstLine="560"/>
        <w:rPr>
          <w:sz w:val="28"/>
          <w:szCs w:val="28"/>
        </w:rPr>
      </w:pPr>
      <w:r>
        <w:rPr>
          <w:rFonts w:hint="eastAsia"/>
          <w:sz w:val="28"/>
          <w:szCs w:val="28"/>
        </w:rPr>
        <w:t>（</w:t>
      </w:r>
      <w:r>
        <w:rPr>
          <w:sz w:val="28"/>
          <w:szCs w:val="28"/>
        </w:rPr>
        <w:t>7</w:t>
      </w:r>
      <w:r>
        <w:rPr>
          <w:rFonts w:hint="eastAsia"/>
          <w:sz w:val="28"/>
          <w:szCs w:val="28"/>
        </w:rPr>
        <w:t>）《大冶市防汛抗旱应急预案》；</w:t>
      </w:r>
    </w:p>
    <w:p>
      <w:pPr>
        <w:topLinePunct/>
        <w:ind w:firstLine="560"/>
        <w:rPr>
          <w:sz w:val="28"/>
          <w:szCs w:val="28"/>
          <w:highlight w:val="yellow"/>
        </w:rPr>
      </w:pPr>
      <w:r>
        <w:rPr>
          <w:rFonts w:hint="eastAsia"/>
          <w:sz w:val="28"/>
          <w:szCs w:val="28"/>
        </w:rPr>
        <w:t>（</w:t>
      </w:r>
      <w:r>
        <w:rPr>
          <w:sz w:val="28"/>
          <w:szCs w:val="28"/>
        </w:rPr>
        <w:t>8</w:t>
      </w:r>
      <w:r>
        <w:rPr>
          <w:rFonts w:hint="eastAsia"/>
          <w:sz w:val="28"/>
          <w:szCs w:val="28"/>
        </w:rPr>
        <w:t>）《城市防洪应急预案编制大纲》。</w:t>
      </w:r>
    </w:p>
    <w:p>
      <w:pPr>
        <w:pStyle w:val="3"/>
        <w:topLinePunct/>
        <w:ind w:firstLine="0" w:firstLineChars="0"/>
      </w:pPr>
      <w:bookmarkStart w:id="8" w:name="_Toc133666642"/>
      <w:bookmarkStart w:id="9" w:name="_Toc134984848"/>
      <w:r>
        <w:rPr>
          <w:rFonts w:hint="eastAsia"/>
        </w:rPr>
        <w:t>（四）适用范围</w:t>
      </w:r>
      <w:bookmarkEnd w:id="8"/>
      <w:bookmarkEnd w:id="9"/>
    </w:p>
    <w:p>
      <w:pPr>
        <w:topLinePunct/>
        <w:ind w:firstLine="560"/>
        <w:rPr>
          <w:sz w:val="28"/>
          <w:szCs w:val="28"/>
        </w:rPr>
      </w:pPr>
      <w:r>
        <w:rPr>
          <w:rFonts w:hint="eastAsia"/>
          <w:sz w:val="28"/>
          <w:szCs w:val="28"/>
        </w:rPr>
        <w:t>本预案适用于大冶市城区范围内极端降雨灾害的应对处置工作。</w:t>
      </w:r>
    </w:p>
    <w:p>
      <w:pPr>
        <w:pStyle w:val="3"/>
        <w:topLinePunct/>
        <w:ind w:firstLine="0" w:firstLineChars="0"/>
      </w:pPr>
      <w:bookmarkStart w:id="10" w:name="_Toc134984849"/>
      <w:bookmarkStart w:id="11" w:name="_Toc133666643"/>
      <w:r>
        <w:rPr>
          <w:rFonts w:hint="eastAsia"/>
        </w:rPr>
        <w:t>（五）工作原则</w:t>
      </w:r>
      <w:bookmarkEnd w:id="10"/>
      <w:bookmarkEnd w:id="11"/>
    </w:p>
    <w:p>
      <w:pPr>
        <w:topLinePunct/>
        <w:ind w:firstLine="560"/>
        <w:rPr>
          <w:sz w:val="28"/>
          <w:szCs w:val="28"/>
        </w:rPr>
      </w:pPr>
      <w:r>
        <w:rPr>
          <w:rFonts w:hint="eastAsia"/>
          <w:sz w:val="28"/>
          <w:szCs w:val="28"/>
        </w:rPr>
        <w:t>１、人民至上、生命至上。将抢救人的生命和保障人的基本生存条件作为应对的首要任务，做到不死人、少伤人，财产少受损失。</w:t>
      </w:r>
    </w:p>
    <w:p>
      <w:pPr>
        <w:pStyle w:val="25"/>
        <w:topLinePunct/>
        <w:ind w:firstLine="560"/>
        <w:rPr>
          <w:sz w:val="28"/>
          <w:szCs w:val="28"/>
        </w:rPr>
      </w:pPr>
      <w:r>
        <w:rPr>
          <w:rFonts w:hint="eastAsia"/>
          <w:sz w:val="28"/>
          <w:szCs w:val="28"/>
        </w:rPr>
        <w:t>２、预防为主、避险为要。全面监测、精准预判、及时预警、快速响应，强化集中指挥、预警应急和应急联动，在撤离避险标准上留足富余，尽最大努力降低超标降雨对城市运行和人民群众基本生活的影响。</w:t>
      </w:r>
    </w:p>
    <w:p>
      <w:pPr>
        <w:topLinePunct/>
        <w:ind w:firstLine="560"/>
        <w:rPr>
          <w:rFonts w:asciiTheme="minorHAnsi" w:hAnsiTheme="minorHAnsi"/>
          <w:sz w:val="28"/>
          <w:szCs w:val="28"/>
        </w:rPr>
      </w:pPr>
      <w:r>
        <w:rPr>
          <w:sz w:val="28"/>
          <w:szCs w:val="28"/>
        </w:rPr>
        <w:t>3</w:t>
      </w:r>
      <w:r>
        <w:rPr>
          <w:rFonts w:hint="eastAsia"/>
          <w:sz w:val="28"/>
          <w:szCs w:val="28"/>
        </w:rPr>
        <w:t>、统一指挥，分级负责。实行市委领导下的政府行政负责人负责制，建立健全以属地管理为主，全市统一指挥，分级负责、分类管理的应急体系。各部门单位按照职责分工切实做好超标降雨应对工作。</w:t>
      </w:r>
    </w:p>
    <w:p>
      <w:pPr>
        <w:pStyle w:val="3"/>
        <w:topLinePunct/>
        <w:ind w:firstLine="0" w:firstLineChars="0"/>
      </w:pPr>
      <w:bookmarkStart w:id="12" w:name="_Toc134984850"/>
      <w:bookmarkStart w:id="13" w:name="_Toc133666644"/>
      <w:r>
        <w:rPr>
          <w:rFonts w:hint="eastAsia"/>
        </w:rPr>
        <w:t>（六）应急响应</w:t>
      </w:r>
      <w:bookmarkEnd w:id="12"/>
      <w:bookmarkEnd w:id="13"/>
    </w:p>
    <w:p>
      <w:pPr>
        <w:topLinePunct/>
        <w:ind w:firstLine="560"/>
        <w:rPr>
          <w:sz w:val="28"/>
          <w:szCs w:val="28"/>
        </w:rPr>
      </w:pPr>
      <w:r>
        <w:rPr>
          <w:rFonts w:hint="eastAsia"/>
          <w:sz w:val="28"/>
          <w:szCs w:val="28"/>
        </w:rPr>
        <w:t>结合气象及防洪预报预警，达到下列情形之一时，启动极端降雨城市内涝应急响应，即：1小时降雨超过</w:t>
      </w:r>
      <w:r>
        <w:rPr>
          <w:sz w:val="28"/>
          <w:szCs w:val="28"/>
        </w:rPr>
        <w:t>70</w:t>
      </w:r>
      <w:r>
        <w:rPr>
          <w:rFonts w:hint="eastAsia"/>
          <w:sz w:val="28"/>
          <w:szCs w:val="28"/>
        </w:rPr>
        <w:t>mm或者2</w:t>
      </w:r>
      <w:r>
        <w:rPr>
          <w:sz w:val="28"/>
          <w:szCs w:val="28"/>
        </w:rPr>
        <w:t>4</w:t>
      </w:r>
      <w:r>
        <w:rPr>
          <w:rFonts w:hint="eastAsia"/>
          <w:sz w:val="28"/>
          <w:szCs w:val="28"/>
        </w:rPr>
        <w:t>小时降雨超过</w:t>
      </w:r>
      <w:r>
        <w:rPr>
          <w:sz w:val="28"/>
          <w:szCs w:val="28"/>
        </w:rPr>
        <w:t>220</w:t>
      </w:r>
      <w:r>
        <w:rPr>
          <w:rFonts w:hint="eastAsia"/>
          <w:sz w:val="28"/>
          <w:szCs w:val="28"/>
        </w:rPr>
        <w:t>mm，且降雨持续。</w:t>
      </w:r>
    </w:p>
    <w:p>
      <w:pPr>
        <w:topLinePunct/>
        <w:ind w:firstLine="560"/>
        <w:rPr>
          <w:rFonts w:asciiTheme="minorHAnsi" w:hAnsiTheme="minorHAnsi"/>
          <w:sz w:val="28"/>
          <w:szCs w:val="28"/>
        </w:rPr>
      </w:pPr>
      <w:r>
        <w:rPr>
          <w:rFonts w:hint="eastAsia"/>
          <w:sz w:val="28"/>
          <w:szCs w:val="28"/>
        </w:rPr>
        <w:t>极端降雨城市内涝应急响应由城市防洪（排渍）指挥部提出行动建议，向市委、市政府和省防指报批后，大冶市防汛抗旱指挥部（以下简称市防指）指挥长决定启动响应程序，发布预警信息，采用广播、电视、网络、报刊、短信等多种方式及时向社会广泛实时发布内涝汛情公告，宣布进入紧急防汛排涝期，同时由城市防洪（排渍）指挥部向省住建厅报备。</w:t>
      </w:r>
    </w:p>
    <w:p>
      <w:pPr>
        <w:topLinePunct/>
        <w:ind w:firstLine="560"/>
        <w:rPr>
          <w:rFonts w:asciiTheme="minorHAnsi" w:hAnsiTheme="minorHAnsi"/>
          <w:color w:val="FF0000"/>
          <w:sz w:val="28"/>
          <w:szCs w:val="28"/>
        </w:rPr>
      </w:pPr>
      <w:r>
        <w:rPr>
          <w:rFonts w:hint="eastAsia"/>
          <w:sz w:val="28"/>
          <w:szCs w:val="28"/>
        </w:rPr>
        <w:t>当降雨减弱，城区渍水基本消退后，次生衍生危害被基本消除或得到有效控制时，市防指根据应急工作进展和工作部署，城市防洪（排渍）指挥部向市委、市政府和省防指提出解除极端降雨城市内涝应急响应建议获批后，由指挥长宣布解除极端降雨城市内涝应急响应，同时通知各成员单位。各成员单位按照规定向城市防洪（排渍）指挥部提交应急响应报告，城市防洪（排渍）指挥部汇总形成全市极端降雨城市内涝应急响应报告，经副指挥长审核、指挥长审定后报省防指并部署相关善后工作，同时由城市防洪（排渍）指挥部报省住建厅备案。</w:t>
      </w:r>
    </w:p>
    <w:p>
      <w:pPr>
        <w:pStyle w:val="3"/>
        <w:topLinePunct/>
        <w:ind w:firstLine="0" w:firstLineChars="0"/>
      </w:pPr>
      <w:bookmarkStart w:id="14" w:name="_Toc134984851"/>
      <w:bookmarkStart w:id="15" w:name="_Toc133666645"/>
      <w:r>
        <w:rPr>
          <w:rFonts w:hint="eastAsia"/>
        </w:rPr>
        <w:t>（七）应急预案体系</w:t>
      </w:r>
      <w:bookmarkEnd w:id="14"/>
      <w:bookmarkEnd w:id="15"/>
    </w:p>
    <w:p>
      <w:pPr>
        <w:topLinePunct/>
        <w:ind w:firstLine="560"/>
        <w:rPr>
          <w:rFonts w:asciiTheme="minorHAnsi" w:hAnsiTheme="minorHAnsi"/>
          <w:sz w:val="28"/>
          <w:szCs w:val="28"/>
        </w:rPr>
      </w:pPr>
      <w:r>
        <w:rPr>
          <w:rFonts w:hint="eastAsia"/>
          <w:sz w:val="28"/>
          <w:szCs w:val="28"/>
        </w:rPr>
        <w:t>大冶市气象局编制《大冶市气象灾害应急预案》，经大冶市人民政府批准执行，报湖北省气象局备案。</w:t>
      </w:r>
    </w:p>
    <w:p>
      <w:pPr>
        <w:topLinePunct/>
        <w:ind w:firstLine="560"/>
        <w:rPr>
          <w:rFonts w:asciiTheme="minorHAnsi" w:hAnsiTheme="minorHAnsi"/>
          <w:sz w:val="28"/>
          <w:szCs w:val="28"/>
        </w:rPr>
      </w:pPr>
      <w:r>
        <w:rPr>
          <w:rFonts w:hint="eastAsia"/>
          <w:sz w:val="28"/>
          <w:szCs w:val="28"/>
        </w:rPr>
        <w:t>大冶市人民政府、大冶市防汛抗旱指挥部办公室编制《大冶市防汛抗旱应急预案》，经大冶市人民政府批准执行，报省防指备案。</w:t>
      </w:r>
    </w:p>
    <w:p>
      <w:pPr>
        <w:topLinePunct/>
        <w:ind w:firstLine="560"/>
        <w:rPr>
          <w:rFonts w:asciiTheme="minorHAnsi" w:hAnsiTheme="minorHAnsi"/>
          <w:sz w:val="28"/>
          <w:szCs w:val="28"/>
        </w:rPr>
      </w:pPr>
      <w:r>
        <w:rPr>
          <w:rFonts w:hint="eastAsia" w:asciiTheme="minorHAnsi" w:hAnsiTheme="minorHAnsi"/>
          <w:sz w:val="28"/>
          <w:szCs w:val="28"/>
        </w:rPr>
        <w:t>大冶市</w:t>
      </w:r>
      <w:r>
        <w:rPr>
          <w:rFonts w:hint="eastAsia"/>
          <w:sz w:val="28"/>
          <w:szCs w:val="28"/>
        </w:rPr>
        <w:t>城市防洪（排渍）指挥部编制《大冶城区防洪排渍应急预案》，经大冶市人民政府批准执行，报市防指备案。</w:t>
      </w:r>
    </w:p>
    <w:p>
      <w:pPr>
        <w:topLinePunct/>
        <w:ind w:firstLine="560"/>
        <w:rPr>
          <w:sz w:val="28"/>
          <w:szCs w:val="28"/>
        </w:rPr>
      </w:pPr>
      <w:r>
        <w:rPr>
          <w:rFonts w:hint="eastAsia"/>
          <w:sz w:val="28"/>
          <w:szCs w:val="28"/>
        </w:rPr>
        <w:t>各有关部门、各基层组织和单位制定的本部门、本级（单位）应急预案应与本预案加强衔接，确保预案确定的各项任务措施得到有效落实。</w:t>
      </w:r>
    </w:p>
    <w:p>
      <w:pPr>
        <w:topLinePunct/>
        <w:ind w:firstLine="560"/>
        <w:rPr>
          <w:color w:val="FF0000"/>
          <w:sz w:val="28"/>
          <w:szCs w:val="28"/>
        </w:rPr>
      </w:pPr>
    </w:p>
    <w:p>
      <w:pPr>
        <w:topLinePunct/>
        <w:ind w:firstLine="560"/>
        <w:rPr>
          <w:color w:val="FF0000"/>
          <w:sz w:val="28"/>
          <w:szCs w:val="28"/>
        </w:rPr>
      </w:pPr>
    </w:p>
    <w:p>
      <w:pPr>
        <w:pStyle w:val="22"/>
        <w:ind w:firstLine="560"/>
        <w:rPr>
          <w:highlight w:val="yellow"/>
        </w:rPr>
      </w:pPr>
    </w:p>
    <w:p>
      <w:pPr>
        <w:topLinePunct/>
        <w:ind w:firstLine="480"/>
        <w:rPr>
          <w:highlight w:val="yellow"/>
        </w:rPr>
        <w:sectPr>
          <w:footerReference r:id="rId12" w:type="default"/>
          <w:pgSz w:w="11906" w:h="16838"/>
          <w:pgMar w:top="1418" w:right="1134" w:bottom="1418" w:left="1701" w:header="851" w:footer="992" w:gutter="0"/>
          <w:pgNumType w:start="1"/>
          <w:cols w:space="425" w:num="1"/>
          <w:docGrid w:type="lines" w:linePitch="326" w:charSpace="1057"/>
        </w:sectPr>
      </w:pPr>
    </w:p>
    <w:p>
      <w:pPr>
        <w:pStyle w:val="2"/>
        <w:topLinePunct/>
        <w:spacing w:line="240" w:lineRule="auto"/>
        <w:ind w:firstLine="0" w:firstLineChars="0"/>
        <w:jc w:val="center"/>
      </w:pPr>
      <w:bookmarkStart w:id="16" w:name="_Toc134984852"/>
      <w:bookmarkStart w:id="17" w:name="_Toc133666646"/>
      <w:r>
        <w:rPr>
          <w:rFonts w:hint="eastAsia"/>
        </w:rPr>
        <w:t>二、内涝防范工作</w:t>
      </w:r>
      <w:bookmarkEnd w:id="16"/>
      <w:bookmarkEnd w:id="17"/>
    </w:p>
    <w:p>
      <w:pPr>
        <w:pStyle w:val="3"/>
        <w:topLinePunct/>
        <w:ind w:firstLine="0" w:firstLineChars="0"/>
      </w:pPr>
      <w:bookmarkStart w:id="18" w:name="_Toc134984853"/>
      <w:bookmarkStart w:id="19" w:name="_Toc133666647"/>
      <w:r>
        <w:rPr>
          <w:rFonts w:hint="eastAsia"/>
        </w:rPr>
        <w:t>（一）极端降雨情况分析</w:t>
      </w:r>
      <w:bookmarkEnd w:id="18"/>
      <w:bookmarkEnd w:id="19"/>
    </w:p>
    <w:p>
      <w:pPr>
        <w:pStyle w:val="4"/>
        <w:topLinePunct/>
        <w:spacing w:before="0" w:after="0" w:line="240" w:lineRule="auto"/>
        <w:ind w:firstLine="0" w:firstLineChars="0"/>
        <w:rPr>
          <w:sz w:val="28"/>
          <w:szCs w:val="28"/>
        </w:rPr>
      </w:pPr>
      <w:bookmarkStart w:id="20" w:name="_Toc134984854"/>
      <w:bookmarkStart w:id="21" w:name="_Toc133666648"/>
      <w:r>
        <w:rPr>
          <w:sz w:val="28"/>
          <w:szCs w:val="28"/>
        </w:rPr>
        <w:t>1</w:t>
      </w:r>
      <w:r>
        <w:rPr>
          <w:rFonts w:hint="eastAsia"/>
          <w:sz w:val="28"/>
          <w:szCs w:val="28"/>
        </w:rPr>
        <w:t>、历史降雨情况分析</w:t>
      </w:r>
      <w:bookmarkEnd w:id="20"/>
      <w:bookmarkEnd w:id="21"/>
    </w:p>
    <w:p>
      <w:pPr>
        <w:topLinePunct/>
        <w:ind w:firstLine="560"/>
        <w:rPr>
          <w:sz w:val="28"/>
          <w:szCs w:val="28"/>
        </w:rPr>
      </w:pPr>
      <w:r>
        <w:rPr>
          <w:sz w:val="28"/>
          <w:szCs w:val="28"/>
        </w:rPr>
        <w:t>1954</w:t>
      </w:r>
      <w:r>
        <w:rPr>
          <w:rFonts w:hint="eastAsia"/>
          <w:sz w:val="28"/>
          <w:szCs w:val="28"/>
        </w:rPr>
        <w:t>年</w:t>
      </w:r>
      <w:r>
        <w:rPr>
          <w:rFonts w:hint="eastAsia"/>
          <w:sz w:val="28"/>
        </w:rPr>
        <w:t>长江流域发生大洪水。</w:t>
      </w:r>
      <w:r>
        <w:rPr>
          <w:rFonts w:hint="eastAsia"/>
          <w:sz w:val="28"/>
          <w:szCs w:val="28"/>
        </w:rPr>
        <w:t>其中</w:t>
      </w:r>
      <w:r>
        <w:rPr>
          <w:sz w:val="28"/>
          <w:szCs w:val="28"/>
        </w:rPr>
        <w:t>4-7</w:t>
      </w:r>
      <w:r>
        <w:rPr>
          <w:rFonts w:hint="eastAsia"/>
          <w:sz w:val="28"/>
          <w:szCs w:val="28"/>
        </w:rPr>
        <w:t>月份降雨量</w:t>
      </w:r>
      <w:r>
        <w:rPr>
          <w:sz w:val="28"/>
          <w:szCs w:val="28"/>
        </w:rPr>
        <w:t>2007.5mm</w:t>
      </w:r>
      <w:r>
        <w:rPr>
          <w:rFonts w:hint="eastAsia"/>
          <w:sz w:val="28"/>
          <w:szCs w:val="28"/>
        </w:rPr>
        <w:t>，占全年降雨量的</w:t>
      </w:r>
      <w:r>
        <w:rPr>
          <w:sz w:val="28"/>
          <w:szCs w:val="28"/>
        </w:rPr>
        <w:t>83%</w:t>
      </w:r>
      <w:r>
        <w:rPr>
          <w:rFonts w:hint="eastAsia"/>
          <w:sz w:val="28"/>
          <w:szCs w:val="28"/>
        </w:rPr>
        <w:t>，为多年同期均值的</w:t>
      </w:r>
      <w:r>
        <w:rPr>
          <w:sz w:val="28"/>
          <w:szCs w:val="28"/>
        </w:rPr>
        <w:t>2.6</w:t>
      </w:r>
      <w:r>
        <w:rPr>
          <w:rFonts w:hint="eastAsia"/>
          <w:sz w:val="28"/>
          <w:szCs w:val="28"/>
        </w:rPr>
        <w:t>倍，一日最大降雨量</w:t>
      </w:r>
      <w:r>
        <w:rPr>
          <w:sz w:val="28"/>
          <w:szCs w:val="28"/>
        </w:rPr>
        <w:t>204.7mm</w:t>
      </w:r>
      <w:r>
        <w:rPr>
          <w:rFonts w:hint="eastAsia"/>
          <w:sz w:val="28"/>
          <w:szCs w:val="28"/>
        </w:rPr>
        <w:t>。</w:t>
      </w:r>
    </w:p>
    <w:p>
      <w:pPr>
        <w:topLinePunct/>
        <w:ind w:firstLine="560"/>
        <w:rPr>
          <w:sz w:val="28"/>
          <w:szCs w:val="28"/>
          <w:highlight w:val="yellow"/>
        </w:rPr>
      </w:pPr>
      <w:r>
        <w:rPr>
          <w:sz w:val="28"/>
          <w:szCs w:val="28"/>
        </w:rPr>
        <w:t>1998</w:t>
      </w:r>
      <w:r>
        <w:rPr>
          <w:rFonts w:hint="eastAsia"/>
          <w:sz w:val="28"/>
          <w:szCs w:val="28"/>
        </w:rPr>
        <w:t>年大冶市降雨量为</w:t>
      </w:r>
      <w:r>
        <w:rPr>
          <w:sz w:val="28"/>
          <w:szCs w:val="28"/>
        </w:rPr>
        <w:t>1955.3mm</w:t>
      </w:r>
      <w:r>
        <w:rPr>
          <w:rFonts w:hint="eastAsia"/>
          <w:sz w:val="28"/>
          <w:szCs w:val="28"/>
        </w:rPr>
        <w:t>，其中</w:t>
      </w:r>
      <w:r>
        <w:rPr>
          <w:sz w:val="28"/>
          <w:szCs w:val="28"/>
        </w:rPr>
        <w:t>6-7</w:t>
      </w:r>
      <w:r>
        <w:rPr>
          <w:rFonts w:hint="eastAsia"/>
          <w:sz w:val="28"/>
          <w:szCs w:val="28"/>
        </w:rPr>
        <w:t>月份降雨量</w:t>
      </w:r>
      <w:r>
        <w:rPr>
          <w:sz w:val="28"/>
          <w:szCs w:val="28"/>
        </w:rPr>
        <w:t>846.4mm</w:t>
      </w:r>
      <w:r>
        <w:rPr>
          <w:rFonts w:hint="eastAsia"/>
          <w:sz w:val="28"/>
          <w:szCs w:val="28"/>
        </w:rPr>
        <w:t>，比常年同期多</w:t>
      </w:r>
      <w:r>
        <w:rPr>
          <w:sz w:val="28"/>
          <w:szCs w:val="28"/>
        </w:rPr>
        <w:t>0.8</w:t>
      </w:r>
      <w:r>
        <w:rPr>
          <w:rFonts w:hint="eastAsia"/>
          <w:sz w:val="28"/>
          <w:szCs w:val="28"/>
        </w:rPr>
        <w:t>倍，一日最大降雨量</w:t>
      </w:r>
      <w:r>
        <w:rPr>
          <w:sz w:val="28"/>
          <w:szCs w:val="28"/>
        </w:rPr>
        <w:t>250.5mm</w:t>
      </w:r>
      <w:r>
        <w:rPr>
          <w:rFonts w:hint="eastAsia"/>
          <w:sz w:val="28"/>
          <w:szCs w:val="28"/>
        </w:rPr>
        <w:t>（</w:t>
      </w:r>
      <w:r>
        <w:rPr>
          <w:sz w:val="28"/>
          <w:szCs w:val="28"/>
        </w:rPr>
        <w:t>7</w:t>
      </w:r>
      <w:r>
        <w:rPr>
          <w:rFonts w:hint="eastAsia"/>
          <w:sz w:val="28"/>
          <w:szCs w:val="28"/>
        </w:rPr>
        <w:t>月</w:t>
      </w:r>
      <w:r>
        <w:rPr>
          <w:sz w:val="28"/>
          <w:szCs w:val="28"/>
        </w:rPr>
        <w:t>22</w:t>
      </w:r>
      <w:r>
        <w:rPr>
          <w:rFonts w:hint="eastAsia"/>
          <w:sz w:val="28"/>
          <w:szCs w:val="28"/>
        </w:rPr>
        <w:t>日）。</w:t>
      </w:r>
    </w:p>
    <w:p>
      <w:pPr>
        <w:topLinePunct/>
        <w:ind w:firstLine="560"/>
        <w:rPr>
          <w:sz w:val="28"/>
          <w:szCs w:val="28"/>
        </w:rPr>
      </w:pPr>
      <w:r>
        <w:rPr>
          <w:sz w:val="28"/>
          <w:szCs w:val="28"/>
        </w:rPr>
        <w:t>1999</w:t>
      </w:r>
      <w:r>
        <w:rPr>
          <w:rFonts w:hint="eastAsia"/>
          <w:sz w:val="28"/>
          <w:szCs w:val="28"/>
        </w:rPr>
        <w:t>年大冶市降雨量为</w:t>
      </w:r>
      <w:r>
        <w:rPr>
          <w:sz w:val="28"/>
          <w:szCs w:val="28"/>
        </w:rPr>
        <w:t>2076.9mm</w:t>
      </w:r>
      <w:r>
        <w:rPr>
          <w:rFonts w:hint="eastAsia"/>
          <w:sz w:val="28"/>
          <w:szCs w:val="28"/>
        </w:rPr>
        <w:t>，其中</w:t>
      </w:r>
      <w:r>
        <w:rPr>
          <w:sz w:val="28"/>
          <w:szCs w:val="28"/>
        </w:rPr>
        <w:t>5-9</w:t>
      </w:r>
      <w:r>
        <w:rPr>
          <w:rFonts w:hint="eastAsia"/>
          <w:sz w:val="28"/>
          <w:szCs w:val="28"/>
        </w:rPr>
        <w:t>月份降雨量</w:t>
      </w:r>
      <w:r>
        <w:rPr>
          <w:sz w:val="28"/>
          <w:szCs w:val="28"/>
        </w:rPr>
        <w:t>1493.8mm</w:t>
      </w:r>
      <w:r>
        <w:rPr>
          <w:rFonts w:hint="eastAsia"/>
          <w:sz w:val="28"/>
          <w:szCs w:val="28"/>
        </w:rPr>
        <w:t>，占全年雨量的</w:t>
      </w:r>
      <w:r>
        <w:rPr>
          <w:sz w:val="28"/>
          <w:szCs w:val="28"/>
        </w:rPr>
        <w:t>71.9%</w:t>
      </w:r>
      <w:r>
        <w:rPr>
          <w:rFonts w:hint="eastAsia"/>
          <w:sz w:val="28"/>
          <w:szCs w:val="28"/>
        </w:rPr>
        <w:t>，比常年同期多</w:t>
      </w:r>
      <w:r>
        <w:rPr>
          <w:sz w:val="28"/>
          <w:szCs w:val="28"/>
        </w:rPr>
        <w:t>45.1%</w:t>
      </w:r>
      <w:r>
        <w:rPr>
          <w:rFonts w:hint="eastAsia"/>
          <w:sz w:val="28"/>
          <w:szCs w:val="28"/>
        </w:rPr>
        <w:t>，一日最大雨量</w:t>
      </w:r>
      <w:r>
        <w:rPr>
          <w:sz w:val="28"/>
          <w:szCs w:val="28"/>
        </w:rPr>
        <w:t>164.7mm</w:t>
      </w:r>
      <w:r>
        <w:rPr>
          <w:rFonts w:hint="eastAsia"/>
          <w:sz w:val="28"/>
          <w:szCs w:val="28"/>
        </w:rPr>
        <w:t>（</w:t>
      </w:r>
      <w:r>
        <w:rPr>
          <w:sz w:val="28"/>
          <w:szCs w:val="28"/>
        </w:rPr>
        <w:t>6</w:t>
      </w:r>
      <w:r>
        <w:rPr>
          <w:rFonts w:hint="eastAsia"/>
          <w:sz w:val="28"/>
          <w:szCs w:val="28"/>
        </w:rPr>
        <w:t>月</w:t>
      </w:r>
      <w:r>
        <w:rPr>
          <w:sz w:val="28"/>
          <w:szCs w:val="28"/>
        </w:rPr>
        <w:t>29</w:t>
      </w:r>
      <w:r>
        <w:rPr>
          <w:rFonts w:hint="eastAsia"/>
          <w:sz w:val="28"/>
          <w:szCs w:val="28"/>
        </w:rPr>
        <w:t>日）。</w:t>
      </w:r>
    </w:p>
    <w:p>
      <w:pPr>
        <w:topLinePunct/>
        <w:ind w:firstLine="560"/>
        <w:rPr>
          <w:sz w:val="28"/>
          <w:szCs w:val="28"/>
        </w:rPr>
      </w:pPr>
      <w:r>
        <w:rPr>
          <w:sz w:val="28"/>
          <w:szCs w:val="28"/>
        </w:rPr>
        <w:t>2016</w:t>
      </w:r>
      <w:r>
        <w:rPr>
          <w:rFonts w:hint="eastAsia"/>
          <w:sz w:val="28"/>
          <w:szCs w:val="28"/>
        </w:rPr>
        <w:t>年大冶市降雨量为</w:t>
      </w:r>
      <w:r>
        <w:rPr>
          <w:sz w:val="28"/>
          <w:szCs w:val="28"/>
        </w:rPr>
        <w:t>2189.5mm</w:t>
      </w:r>
      <w:r>
        <w:rPr>
          <w:rFonts w:hint="eastAsia"/>
          <w:sz w:val="28"/>
          <w:szCs w:val="28"/>
        </w:rPr>
        <w:t>，其中</w:t>
      </w:r>
      <w:r>
        <w:rPr>
          <w:sz w:val="28"/>
          <w:szCs w:val="28"/>
        </w:rPr>
        <w:t>6-7</w:t>
      </w:r>
      <w:r>
        <w:rPr>
          <w:rFonts w:hint="eastAsia"/>
          <w:sz w:val="28"/>
          <w:szCs w:val="28"/>
        </w:rPr>
        <w:t>月份降雨量</w:t>
      </w:r>
      <w:r>
        <w:rPr>
          <w:sz w:val="28"/>
          <w:szCs w:val="28"/>
        </w:rPr>
        <w:t>796.0mm</w:t>
      </w:r>
      <w:r>
        <w:rPr>
          <w:rFonts w:hint="eastAsia"/>
          <w:sz w:val="28"/>
          <w:szCs w:val="28"/>
        </w:rPr>
        <w:t>，一日最大降雨量</w:t>
      </w:r>
      <w:r>
        <w:rPr>
          <w:sz w:val="28"/>
          <w:szCs w:val="28"/>
        </w:rPr>
        <w:t>134.5mm</w:t>
      </w:r>
      <w:r>
        <w:rPr>
          <w:rFonts w:hint="eastAsia"/>
          <w:sz w:val="28"/>
          <w:szCs w:val="28"/>
        </w:rPr>
        <w:t>（</w:t>
      </w:r>
      <w:r>
        <w:rPr>
          <w:sz w:val="28"/>
          <w:szCs w:val="28"/>
        </w:rPr>
        <w:t>6</w:t>
      </w:r>
      <w:r>
        <w:rPr>
          <w:rFonts w:hint="eastAsia"/>
          <w:sz w:val="28"/>
          <w:szCs w:val="28"/>
        </w:rPr>
        <w:t>月</w:t>
      </w:r>
      <w:r>
        <w:rPr>
          <w:sz w:val="28"/>
          <w:szCs w:val="28"/>
        </w:rPr>
        <w:t>28</w:t>
      </w:r>
      <w:r>
        <w:rPr>
          <w:rFonts w:hint="eastAsia"/>
          <w:sz w:val="28"/>
          <w:szCs w:val="28"/>
        </w:rPr>
        <w:t>日）。暴雨日数</w:t>
      </w:r>
      <w:r>
        <w:rPr>
          <w:sz w:val="28"/>
          <w:szCs w:val="28"/>
        </w:rPr>
        <w:t>13</w:t>
      </w:r>
      <w:r>
        <w:rPr>
          <w:rFonts w:hint="eastAsia"/>
          <w:sz w:val="28"/>
          <w:szCs w:val="28"/>
        </w:rPr>
        <w:t>天，为历史最多暴雨日数。</w:t>
      </w:r>
    </w:p>
    <w:p>
      <w:pPr>
        <w:topLinePunct/>
        <w:ind w:firstLine="560"/>
      </w:pPr>
      <w:r>
        <w:rPr>
          <w:sz w:val="28"/>
          <w:szCs w:val="28"/>
        </w:rPr>
        <w:t>2020</w:t>
      </w:r>
      <w:r>
        <w:rPr>
          <w:rFonts w:hint="eastAsia"/>
          <w:sz w:val="28"/>
          <w:szCs w:val="28"/>
        </w:rPr>
        <w:t>年大冶市降雨量为</w:t>
      </w:r>
      <w:r>
        <w:rPr>
          <w:sz w:val="28"/>
          <w:szCs w:val="28"/>
        </w:rPr>
        <w:t>2226.5mm</w:t>
      </w:r>
      <w:r>
        <w:rPr>
          <w:rFonts w:hint="eastAsia"/>
          <w:sz w:val="28"/>
          <w:szCs w:val="28"/>
        </w:rPr>
        <w:t>，仅次于</w:t>
      </w:r>
      <w:r>
        <w:rPr>
          <w:sz w:val="28"/>
          <w:szCs w:val="28"/>
        </w:rPr>
        <w:t>1954</w:t>
      </w:r>
      <w:r>
        <w:rPr>
          <w:rFonts w:hint="eastAsia"/>
          <w:sz w:val="28"/>
          <w:szCs w:val="28"/>
        </w:rPr>
        <w:t>年。其中</w:t>
      </w:r>
      <w:r>
        <w:rPr>
          <w:sz w:val="28"/>
          <w:szCs w:val="28"/>
        </w:rPr>
        <w:t>6-7</w:t>
      </w:r>
      <w:r>
        <w:rPr>
          <w:rFonts w:hint="eastAsia"/>
          <w:sz w:val="28"/>
          <w:szCs w:val="28"/>
        </w:rPr>
        <w:t>月份降雨量</w:t>
      </w:r>
      <w:r>
        <w:rPr>
          <w:sz w:val="28"/>
          <w:szCs w:val="28"/>
        </w:rPr>
        <w:t>980.5mm</w:t>
      </w:r>
      <w:r>
        <w:rPr>
          <w:rFonts w:hint="eastAsia"/>
          <w:sz w:val="28"/>
          <w:szCs w:val="28"/>
        </w:rPr>
        <w:t>，一日最大降雨量</w:t>
      </w:r>
      <w:r>
        <w:rPr>
          <w:sz w:val="28"/>
          <w:szCs w:val="28"/>
        </w:rPr>
        <w:t>147.4mm</w:t>
      </w:r>
      <w:r>
        <w:rPr>
          <w:rFonts w:hint="eastAsia"/>
          <w:sz w:val="28"/>
          <w:szCs w:val="28"/>
        </w:rPr>
        <w:t>（</w:t>
      </w:r>
      <w:r>
        <w:rPr>
          <w:sz w:val="28"/>
          <w:szCs w:val="28"/>
        </w:rPr>
        <w:t>6</w:t>
      </w:r>
      <w:r>
        <w:rPr>
          <w:rFonts w:hint="eastAsia"/>
          <w:sz w:val="28"/>
          <w:szCs w:val="28"/>
        </w:rPr>
        <w:t>月</w:t>
      </w:r>
      <w:r>
        <w:rPr>
          <w:sz w:val="28"/>
          <w:szCs w:val="28"/>
        </w:rPr>
        <w:t>23</w:t>
      </w:r>
      <w:r>
        <w:rPr>
          <w:rFonts w:hint="eastAsia"/>
          <w:sz w:val="28"/>
          <w:szCs w:val="28"/>
        </w:rPr>
        <w:t>日）。</w:t>
      </w:r>
      <w:r>
        <w:rPr>
          <w:sz w:val="28"/>
          <w:szCs w:val="28"/>
        </w:rPr>
        <w:t>6</w:t>
      </w:r>
      <w:r>
        <w:rPr>
          <w:rFonts w:hint="eastAsia"/>
          <w:sz w:val="28"/>
          <w:szCs w:val="28"/>
        </w:rPr>
        <w:t>月</w:t>
      </w:r>
      <w:r>
        <w:rPr>
          <w:sz w:val="28"/>
          <w:szCs w:val="28"/>
        </w:rPr>
        <w:t>8</w:t>
      </w:r>
      <w:r>
        <w:rPr>
          <w:rFonts w:hint="eastAsia"/>
          <w:sz w:val="28"/>
          <w:szCs w:val="28"/>
        </w:rPr>
        <w:t>日</w:t>
      </w:r>
      <w:r>
        <w:rPr>
          <w:sz w:val="28"/>
          <w:szCs w:val="28"/>
        </w:rPr>
        <w:t>8</w:t>
      </w:r>
      <w:r>
        <w:rPr>
          <w:rFonts w:hint="eastAsia"/>
          <w:sz w:val="28"/>
          <w:szCs w:val="28"/>
        </w:rPr>
        <w:t>时至</w:t>
      </w:r>
      <w:r>
        <w:rPr>
          <w:sz w:val="28"/>
          <w:szCs w:val="28"/>
        </w:rPr>
        <w:t>7</w:t>
      </w:r>
      <w:r>
        <w:rPr>
          <w:rFonts w:hint="eastAsia"/>
          <w:sz w:val="28"/>
          <w:szCs w:val="28"/>
        </w:rPr>
        <w:t>月</w:t>
      </w:r>
      <w:r>
        <w:rPr>
          <w:sz w:val="28"/>
          <w:szCs w:val="28"/>
        </w:rPr>
        <w:t>8</w:t>
      </w:r>
      <w:r>
        <w:rPr>
          <w:rFonts w:hint="eastAsia"/>
          <w:sz w:val="28"/>
          <w:szCs w:val="28"/>
        </w:rPr>
        <w:t>日</w:t>
      </w:r>
      <w:r>
        <w:rPr>
          <w:sz w:val="28"/>
          <w:szCs w:val="28"/>
        </w:rPr>
        <w:t>8</w:t>
      </w:r>
      <w:r>
        <w:rPr>
          <w:rFonts w:hint="eastAsia"/>
          <w:sz w:val="28"/>
          <w:szCs w:val="28"/>
        </w:rPr>
        <w:t>时，累计降雨量为</w:t>
      </w:r>
      <w:r>
        <w:rPr>
          <w:sz w:val="28"/>
          <w:szCs w:val="28"/>
        </w:rPr>
        <w:t>787.2mm</w:t>
      </w:r>
      <w:r>
        <w:rPr>
          <w:rFonts w:hint="eastAsia"/>
          <w:sz w:val="28"/>
          <w:szCs w:val="28"/>
        </w:rPr>
        <w:t>，较常年同期偏多</w:t>
      </w:r>
      <w:r>
        <w:rPr>
          <w:sz w:val="28"/>
          <w:szCs w:val="28"/>
        </w:rPr>
        <w:t>1.8</w:t>
      </w:r>
      <w:r>
        <w:rPr>
          <w:rFonts w:hint="eastAsia"/>
          <w:sz w:val="28"/>
          <w:szCs w:val="28"/>
        </w:rPr>
        <w:t>-</w:t>
      </w:r>
      <w:r>
        <w:rPr>
          <w:sz w:val="28"/>
          <w:szCs w:val="28"/>
        </w:rPr>
        <w:t>2</w:t>
      </w:r>
      <w:r>
        <w:rPr>
          <w:rFonts w:hint="eastAsia"/>
          <w:sz w:val="28"/>
          <w:szCs w:val="28"/>
        </w:rPr>
        <w:t>倍，呈现过程频繁、覆盖范围广、强度大、持续时间长、雨区重叠度高的特点。</w:t>
      </w:r>
    </w:p>
    <w:p>
      <w:pPr>
        <w:pStyle w:val="4"/>
        <w:keepNext w:val="0"/>
        <w:topLinePunct/>
        <w:spacing w:before="0" w:after="0" w:line="240" w:lineRule="auto"/>
        <w:ind w:firstLine="0" w:firstLineChars="0"/>
        <w:rPr>
          <w:sz w:val="28"/>
          <w:szCs w:val="28"/>
        </w:rPr>
      </w:pPr>
      <w:bookmarkStart w:id="22" w:name="_Toc133666649"/>
      <w:bookmarkStart w:id="23" w:name="_Toc134984855"/>
      <w:r>
        <w:rPr>
          <w:sz w:val="28"/>
          <w:szCs w:val="28"/>
        </w:rPr>
        <w:t>2</w:t>
      </w:r>
      <w:r>
        <w:rPr>
          <w:rFonts w:hint="eastAsia"/>
          <w:sz w:val="28"/>
          <w:szCs w:val="28"/>
        </w:rPr>
        <w:t>、极端降雨雨量阈值</w:t>
      </w:r>
      <w:bookmarkEnd w:id="22"/>
      <w:bookmarkEnd w:id="23"/>
    </w:p>
    <w:p>
      <w:pPr>
        <w:topLinePunct/>
        <w:ind w:firstLine="560"/>
        <w:rPr>
          <w:sz w:val="28"/>
          <w:szCs w:val="28"/>
        </w:rPr>
      </w:pPr>
      <w:r>
        <w:rPr>
          <w:rFonts w:hint="eastAsia"/>
          <w:sz w:val="28"/>
          <w:szCs w:val="28"/>
        </w:rPr>
        <w:t>根据大冶</w:t>
      </w:r>
      <w:r>
        <w:rPr>
          <w:sz w:val="28"/>
          <w:szCs w:val="28"/>
        </w:rPr>
        <w:t>1954</w:t>
      </w:r>
      <w:r>
        <w:rPr>
          <w:rFonts w:hint="eastAsia"/>
          <w:sz w:val="28"/>
          <w:szCs w:val="28"/>
        </w:rPr>
        <w:t>年以来历史降雨数据分析，不同降雨历时的最大降雨量如下表：</w:t>
      </w:r>
    </w:p>
    <w:p>
      <w:pPr>
        <w:topLinePunct/>
        <w:ind w:firstLine="0" w:firstLineChars="0"/>
        <w:jc w:val="center"/>
        <w:rPr>
          <w:b/>
        </w:rPr>
      </w:pPr>
    </w:p>
    <w:p>
      <w:pPr>
        <w:topLinePunct/>
        <w:ind w:firstLine="0" w:firstLineChars="0"/>
        <w:jc w:val="center"/>
        <w:rPr>
          <w:b/>
        </w:rPr>
      </w:pPr>
    </w:p>
    <w:p>
      <w:pPr>
        <w:topLinePunct/>
        <w:ind w:firstLine="0" w:firstLineChars="0"/>
        <w:jc w:val="center"/>
      </w:pPr>
      <w:r>
        <w:rPr>
          <w:rFonts w:hint="eastAsia"/>
          <w:b/>
        </w:rPr>
        <w:t>表</w:t>
      </w:r>
      <w:r>
        <w:rPr>
          <w:b/>
        </w:rPr>
        <w:t xml:space="preserve">2-1 </w:t>
      </w:r>
      <w:r>
        <w:rPr>
          <w:rFonts w:hint="eastAsia"/>
          <w:b/>
        </w:rPr>
        <w:t>不同降雨历时最大降雨量特征值统计表</w:t>
      </w:r>
    </w:p>
    <w:tbl>
      <w:tblPr>
        <w:tblStyle w:val="1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095"/>
        <w:gridCol w:w="3096"/>
        <w:gridCol w:w="30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666" w:type="pct"/>
            <w:vAlign w:val="center"/>
          </w:tcPr>
          <w:p>
            <w:pPr>
              <w:topLinePunct/>
              <w:spacing w:line="240" w:lineRule="auto"/>
              <w:ind w:firstLine="0" w:firstLineChars="0"/>
              <w:jc w:val="center"/>
              <w:rPr>
                <w:sz w:val="21"/>
                <w:szCs w:val="21"/>
              </w:rPr>
            </w:pPr>
            <w:r>
              <w:rPr>
                <w:rFonts w:hint="eastAsia"/>
                <w:sz w:val="21"/>
                <w:szCs w:val="21"/>
              </w:rPr>
              <w:t>降雨历时</w:t>
            </w:r>
          </w:p>
        </w:tc>
        <w:tc>
          <w:tcPr>
            <w:tcW w:w="1667" w:type="pct"/>
            <w:shd w:val="clear" w:color="auto" w:fill="auto"/>
            <w:vAlign w:val="center"/>
          </w:tcPr>
          <w:p>
            <w:pPr>
              <w:topLinePunct/>
              <w:spacing w:line="240" w:lineRule="auto"/>
              <w:ind w:firstLine="0" w:firstLineChars="0"/>
              <w:jc w:val="center"/>
              <w:rPr>
                <w:rFonts w:asciiTheme="minorHAnsi" w:hAnsiTheme="minorHAnsi"/>
                <w:sz w:val="21"/>
                <w:szCs w:val="21"/>
              </w:rPr>
            </w:pPr>
            <w:r>
              <w:rPr>
                <w:rFonts w:hint="eastAsia"/>
                <w:sz w:val="21"/>
                <w:szCs w:val="21"/>
              </w:rPr>
              <w:t>降雨量特征值（</w:t>
            </w:r>
            <w:r>
              <w:rPr>
                <w:sz w:val="21"/>
                <w:szCs w:val="21"/>
              </w:rPr>
              <w:t>mm</w:t>
            </w:r>
            <w:r>
              <w:rPr>
                <w:rFonts w:hint="eastAsia"/>
                <w:sz w:val="21"/>
                <w:szCs w:val="21"/>
              </w:rPr>
              <w:t>）</w:t>
            </w:r>
          </w:p>
        </w:tc>
        <w:tc>
          <w:tcPr>
            <w:tcW w:w="1667" w:type="pct"/>
            <w:shd w:val="clear" w:color="auto" w:fill="auto"/>
            <w:vAlign w:val="center"/>
          </w:tcPr>
          <w:p>
            <w:pPr>
              <w:topLinePunct/>
              <w:spacing w:line="240" w:lineRule="auto"/>
              <w:ind w:firstLine="0" w:firstLineChars="0"/>
              <w:jc w:val="center"/>
              <w:rPr>
                <w:rFonts w:asciiTheme="minorHAnsi" w:hAnsiTheme="minorHAnsi"/>
                <w:sz w:val="21"/>
                <w:szCs w:val="21"/>
              </w:rPr>
            </w:pPr>
            <w:r>
              <w:rPr>
                <w:rFonts w:hint="eastAsia"/>
                <w:sz w:val="21"/>
                <w:szCs w:val="21"/>
              </w:rPr>
              <w:t>发生年份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666" w:type="pct"/>
            <w:vAlign w:val="center"/>
          </w:tcPr>
          <w:p>
            <w:pPr>
              <w:topLinePunct/>
              <w:spacing w:line="240" w:lineRule="auto"/>
              <w:ind w:firstLine="0" w:firstLineChars="0"/>
              <w:jc w:val="center"/>
              <w:rPr>
                <w:sz w:val="21"/>
                <w:szCs w:val="21"/>
              </w:rPr>
            </w:pPr>
            <w:r>
              <w:rPr>
                <w:sz w:val="21"/>
                <w:szCs w:val="21"/>
              </w:rPr>
              <w:t>1</w:t>
            </w:r>
            <w:r>
              <w:rPr>
                <w:rFonts w:hint="eastAsia"/>
                <w:sz w:val="21"/>
                <w:szCs w:val="21"/>
              </w:rPr>
              <w:t>日最大暴雨</w:t>
            </w:r>
          </w:p>
        </w:tc>
        <w:tc>
          <w:tcPr>
            <w:tcW w:w="1667" w:type="pct"/>
            <w:shd w:val="clear" w:color="auto" w:fill="auto"/>
            <w:vAlign w:val="center"/>
          </w:tcPr>
          <w:p>
            <w:pPr>
              <w:topLinePunct/>
              <w:spacing w:line="240" w:lineRule="auto"/>
              <w:ind w:firstLine="0" w:firstLineChars="0"/>
              <w:jc w:val="center"/>
              <w:rPr>
                <w:rFonts w:asciiTheme="minorHAnsi" w:hAnsiTheme="minorHAnsi"/>
                <w:sz w:val="21"/>
                <w:szCs w:val="21"/>
              </w:rPr>
            </w:pPr>
            <w:r>
              <w:rPr>
                <w:sz w:val="21"/>
                <w:szCs w:val="21"/>
              </w:rPr>
              <w:t>250.5</w:t>
            </w:r>
          </w:p>
        </w:tc>
        <w:tc>
          <w:tcPr>
            <w:tcW w:w="1667" w:type="pct"/>
            <w:shd w:val="clear" w:color="auto" w:fill="auto"/>
            <w:vAlign w:val="center"/>
          </w:tcPr>
          <w:p>
            <w:pPr>
              <w:topLinePunct/>
              <w:spacing w:line="240" w:lineRule="auto"/>
              <w:ind w:firstLine="0" w:firstLineChars="0"/>
              <w:jc w:val="center"/>
              <w:rPr>
                <w:rFonts w:asciiTheme="minorHAnsi" w:hAnsiTheme="minorHAnsi"/>
                <w:sz w:val="21"/>
                <w:szCs w:val="21"/>
              </w:rPr>
            </w:pPr>
            <w:r>
              <w:rPr>
                <w:sz w:val="21"/>
                <w:szCs w:val="21"/>
              </w:rPr>
              <w:t>1998</w:t>
            </w:r>
            <w:r>
              <w:rPr>
                <w:rFonts w:hint="eastAsia"/>
                <w:sz w:val="21"/>
                <w:szCs w:val="21"/>
              </w:rPr>
              <w:t>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666" w:type="pct"/>
            <w:vAlign w:val="center"/>
          </w:tcPr>
          <w:p>
            <w:pPr>
              <w:topLinePunct/>
              <w:spacing w:line="240" w:lineRule="auto"/>
              <w:ind w:firstLine="0" w:firstLineChars="0"/>
              <w:jc w:val="center"/>
              <w:rPr>
                <w:sz w:val="21"/>
                <w:szCs w:val="21"/>
              </w:rPr>
            </w:pPr>
            <w:r>
              <w:rPr>
                <w:sz w:val="21"/>
                <w:szCs w:val="21"/>
              </w:rPr>
              <w:t>3</w:t>
            </w:r>
            <w:r>
              <w:rPr>
                <w:rFonts w:hint="eastAsia"/>
                <w:sz w:val="21"/>
                <w:szCs w:val="21"/>
              </w:rPr>
              <w:t>日最大暴雨</w:t>
            </w:r>
          </w:p>
        </w:tc>
        <w:tc>
          <w:tcPr>
            <w:tcW w:w="1667" w:type="pct"/>
            <w:shd w:val="clear" w:color="auto" w:fill="auto"/>
            <w:vAlign w:val="center"/>
          </w:tcPr>
          <w:p>
            <w:pPr>
              <w:topLinePunct/>
              <w:spacing w:line="240" w:lineRule="auto"/>
              <w:ind w:firstLine="0" w:firstLineChars="0"/>
              <w:jc w:val="center"/>
              <w:rPr>
                <w:rFonts w:asciiTheme="minorHAnsi" w:hAnsiTheme="minorHAnsi"/>
                <w:sz w:val="21"/>
                <w:szCs w:val="21"/>
              </w:rPr>
            </w:pPr>
            <w:r>
              <w:rPr>
                <w:sz w:val="21"/>
                <w:szCs w:val="21"/>
              </w:rPr>
              <w:t>513.2</w:t>
            </w:r>
          </w:p>
        </w:tc>
        <w:tc>
          <w:tcPr>
            <w:tcW w:w="1667" w:type="pct"/>
            <w:shd w:val="clear" w:color="auto" w:fill="auto"/>
            <w:vAlign w:val="center"/>
          </w:tcPr>
          <w:p>
            <w:pPr>
              <w:topLinePunct/>
              <w:spacing w:line="240" w:lineRule="auto"/>
              <w:ind w:firstLine="0" w:firstLineChars="0"/>
              <w:jc w:val="center"/>
              <w:rPr>
                <w:rFonts w:asciiTheme="minorHAnsi" w:hAnsiTheme="minorHAnsi"/>
                <w:sz w:val="21"/>
                <w:szCs w:val="21"/>
              </w:rPr>
            </w:pPr>
            <w:r>
              <w:rPr>
                <w:sz w:val="21"/>
                <w:szCs w:val="21"/>
              </w:rPr>
              <w:t>1998</w:t>
            </w:r>
            <w:r>
              <w:rPr>
                <w:rFonts w:hint="eastAsia"/>
                <w:sz w:val="21"/>
                <w:szCs w:val="21"/>
              </w:rPr>
              <w:t>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666" w:type="pct"/>
            <w:vAlign w:val="center"/>
          </w:tcPr>
          <w:p>
            <w:pPr>
              <w:topLinePunct/>
              <w:spacing w:line="240" w:lineRule="auto"/>
              <w:ind w:firstLine="0" w:firstLineChars="0"/>
              <w:jc w:val="center"/>
              <w:rPr>
                <w:sz w:val="21"/>
                <w:szCs w:val="21"/>
              </w:rPr>
            </w:pPr>
            <w:r>
              <w:rPr>
                <w:sz w:val="21"/>
                <w:szCs w:val="21"/>
              </w:rPr>
              <w:t>7</w:t>
            </w:r>
            <w:r>
              <w:rPr>
                <w:rFonts w:hint="eastAsia"/>
                <w:sz w:val="21"/>
                <w:szCs w:val="21"/>
              </w:rPr>
              <w:t>日最大暴雨</w:t>
            </w:r>
          </w:p>
        </w:tc>
        <w:tc>
          <w:tcPr>
            <w:tcW w:w="1667" w:type="pct"/>
            <w:shd w:val="clear" w:color="auto" w:fill="auto"/>
            <w:vAlign w:val="center"/>
          </w:tcPr>
          <w:p>
            <w:pPr>
              <w:topLinePunct/>
              <w:spacing w:line="240" w:lineRule="auto"/>
              <w:ind w:firstLine="0" w:firstLineChars="0"/>
              <w:jc w:val="center"/>
              <w:rPr>
                <w:rFonts w:asciiTheme="minorHAnsi" w:hAnsiTheme="minorHAnsi"/>
                <w:sz w:val="21"/>
                <w:szCs w:val="21"/>
              </w:rPr>
            </w:pPr>
            <w:r>
              <w:rPr>
                <w:sz w:val="21"/>
                <w:szCs w:val="21"/>
              </w:rPr>
              <w:t>570.6</w:t>
            </w:r>
          </w:p>
        </w:tc>
        <w:tc>
          <w:tcPr>
            <w:tcW w:w="1667" w:type="pct"/>
            <w:shd w:val="clear" w:color="auto" w:fill="auto"/>
            <w:vAlign w:val="center"/>
          </w:tcPr>
          <w:p>
            <w:pPr>
              <w:topLinePunct/>
              <w:spacing w:line="240" w:lineRule="auto"/>
              <w:ind w:firstLine="0" w:firstLineChars="0"/>
              <w:jc w:val="center"/>
              <w:rPr>
                <w:rFonts w:asciiTheme="minorHAnsi" w:hAnsiTheme="minorHAnsi"/>
                <w:sz w:val="21"/>
                <w:szCs w:val="21"/>
              </w:rPr>
            </w:pPr>
            <w:r>
              <w:rPr>
                <w:sz w:val="21"/>
                <w:szCs w:val="21"/>
              </w:rPr>
              <w:t>1998</w:t>
            </w:r>
            <w:r>
              <w:rPr>
                <w:rFonts w:hint="eastAsia"/>
                <w:sz w:val="21"/>
                <w:szCs w:val="21"/>
              </w:rPr>
              <w:t>年</w:t>
            </w:r>
          </w:p>
        </w:tc>
      </w:tr>
    </w:tbl>
    <w:p>
      <w:pPr>
        <w:topLinePunct/>
        <w:ind w:firstLine="560"/>
        <w:rPr>
          <w:rFonts w:asciiTheme="minorHAnsi" w:hAnsiTheme="minorHAnsi"/>
          <w:sz w:val="28"/>
          <w:szCs w:val="28"/>
        </w:rPr>
      </w:pPr>
      <w:r>
        <w:rPr>
          <w:rFonts w:hint="eastAsia"/>
          <w:sz w:val="28"/>
          <w:szCs w:val="28"/>
        </w:rPr>
        <w:t>大冶市城区内涝防治标准为应对</w:t>
      </w:r>
      <w:r>
        <w:rPr>
          <w:sz w:val="28"/>
          <w:szCs w:val="28"/>
        </w:rPr>
        <w:t>20</w:t>
      </w:r>
      <w:r>
        <w:rPr>
          <w:rFonts w:hint="eastAsia"/>
          <w:sz w:val="28"/>
          <w:szCs w:val="28"/>
        </w:rPr>
        <w:t>年一遇日最大暴雨。根据大冶市不同频率降雨量统计成果（见下表），确定本预案极端降雨雨量阈值按接近</w:t>
      </w:r>
      <w:r>
        <w:rPr>
          <w:sz w:val="28"/>
          <w:szCs w:val="28"/>
        </w:rPr>
        <w:t>30</w:t>
      </w:r>
      <w:r>
        <w:rPr>
          <w:rFonts w:hint="eastAsia"/>
          <w:sz w:val="28"/>
          <w:szCs w:val="28"/>
        </w:rPr>
        <w:t>年一遇日最大暴雨量</w:t>
      </w:r>
      <w:r>
        <w:rPr>
          <w:sz w:val="28"/>
          <w:szCs w:val="28"/>
        </w:rPr>
        <w:t>220mm</w:t>
      </w:r>
      <w:r>
        <w:rPr>
          <w:rFonts w:hint="eastAsia"/>
          <w:sz w:val="28"/>
          <w:szCs w:val="28"/>
        </w:rPr>
        <w:t>作为本预案编制基础。</w:t>
      </w:r>
    </w:p>
    <w:p>
      <w:pPr>
        <w:topLinePunct/>
        <w:ind w:firstLine="0" w:firstLineChars="0"/>
        <w:jc w:val="center"/>
        <w:rPr>
          <w:b/>
        </w:rPr>
      </w:pPr>
      <w:r>
        <w:rPr>
          <w:rFonts w:hint="eastAsia"/>
          <w:b/>
        </w:rPr>
        <w:t>表</w:t>
      </w:r>
      <w:r>
        <w:rPr>
          <w:b/>
        </w:rPr>
        <w:t xml:space="preserve">2-2 </w:t>
      </w:r>
      <w:r>
        <w:rPr>
          <w:rFonts w:hint="eastAsia"/>
          <w:b/>
        </w:rPr>
        <w:t>大冶市不同频率日最大暴雨量统计表</w:t>
      </w:r>
    </w:p>
    <w:tbl>
      <w:tblPr>
        <w:tblStyle w:val="1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754"/>
        <w:gridCol w:w="1282"/>
        <w:gridCol w:w="1282"/>
        <w:gridCol w:w="1282"/>
        <w:gridCol w:w="1282"/>
        <w:gridCol w:w="140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482" w:type="pct"/>
            <w:vAlign w:val="center"/>
          </w:tcPr>
          <w:p>
            <w:pPr>
              <w:topLinePunct/>
              <w:spacing w:line="240" w:lineRule="auto"/>
              <w:ind w:firstLine="0" w:firstLineChars="0"/>
              <w:jc w:val="center"/>
              <w:rPr>
                <w:sz w:val="21"/>
                <w:szCs w:val="21"/>
              </w:rPr>
            </w:pPr>
            <w:r>
              <w:rPr>
                <w:rFonts w:hint="eastAsia"/>
                <w:sz w:val="21"/>
                <w:szCs w:val="21"/>
              </w:rPr>
              <w:t>内涝防治</w:t>
            </w:r>
          </w:p>
          <w:p>
            <w:pPr>
              <w:topLinePunct/>
              <w:spacing w:line="240" w:lineRule="auto"/>
              <w:ind w:firstLine="0" w:firstLineChars="0"/>
              <w:jc w:val="center"/>
              <w:rPr>
                <w:sz w:val="21"/>
                <w:szCs w:val="21"/>
              </w:rPr>
            </w:pPr>
            <w:r>
              <w:rPr>
                <w:rFonts w:hint="eastAsia"/>
                <w:sz w:val="21"/>
                <w:szCs w:val="21"/>
              </w:rPr>
              <w:t>标准</w:t>
            </w:r>
          </w:p>
        </w:tc>
        <w:tc>
          <w:tcPr>
            <w:tcW w:w="690" w:type="pct"/>
            <w:vAlign w:val="center"/>
          </w:tcPr>
          <w:p>
            <w:pPr>
              <w:topLinePunct/>
              <w:spacing w:line="240" w:lineRule="auto"/>
              <w:ind w:firstLine="0" w:firstLineChars="0"/>
              <w:jc w:val="center"/>
              <w:rPr>
                <w:sz w:val="21"/>
                <w:szCs w:val="21"/>
              </w:rPr>
            </w:pPr>
            <w:r>
              <w:rPr>
                <w:sz w:val="21"/>
                <w:szCs w:val="21"/>
              </w:rPr>
              <w:t>10</w:t>
            </w:r>
            <w:r>
              <w:rPr>
                <w:rFonts w:hint="eastAsia"/>
                <w:sz w:val="21"/>
                <w:szCs w:val="21"/>
              </w:rPr>
              <w:t>年一遇</w:t>
            </w:r>
          </w:p>
          <w:p>
            <w:pPr>
              <w:topLinePunct/>
              <w:spacing w:line="240" w:lineRule="auto"/>
              <w:ind w:firstLine="0" w:firstLineChars="0"/>
              <w:jc w:val="center"/>
              <w:rPr>
                <w:sz w:val="21"/>
                <w:szCs w:val="21"/>
              </w:rPr>
            </w:pPr>
            <w:r>
              <w:rPr>
                <w:rFonts w:hint="eastAsia"/>
                <w:sz w:val="21"/>
                <w:szCs w:val="21"/>
              </w:rPr>
              <w:t>暴雨</w:t>
            </w:r>
          </w:p>
        </w:tc>
        <w:tc>
          <w:tcPr>
            <w:tcW w:w="690" w:type="pct"/>
            <w:vAlign w:val="center"/>
          </w:tcPr>
          <w:p>
            <w:pPr>
              <w:topLinePunct/>
              <w:spacing w:line="240" w:lineRule="auto"/>
              <w:ind w:firstLine="0" w:firstLineChars="0"/>
              <w:jc w:val="center"/>
              <w:rPr>
                <w:sz w:val="21"/>
                <w:szCs w:val="21"/>
              </w:rPr>
            </w:pPr>
            <w:r>
              <w:rPr>
                <w:sz w:val="21"/>
                <w:szCs w:val="21"/>
              </w:rPr>
              <w:t>20</w:t>
            </w:r>
            <w:r>
              <w:rPr>
                <w:rFonts w:hint="eastAsia"/>
                <w:sz w:val="21"/>
                <w:szCs w:val="21"/>
              </w:rPr>
              <w:t>年一遇</w:t>
            </w:r>
          </w:p>
          <w:p>
            <w:pPr>
              <w:topLinePunct/>
              <w:spacing w:line="240" w:lineRule="auto"/>
              <w:ind w:firstLine="0" w:firstLineChars="0"/>
              <w:jc w:val="center"/>
              <w:rPr>
                <w:sz w:val="21"/>
                <w:szCs w:val="21"/>
              </w:rPr>
            </w:pPr>
            <w:r>
              <w:rPr>
                <w:rFonts w:hint="eastAsia"/>
                <w:sz w:val="21"/>
                <w:szCs w:val="21"/>
              </w:rPr>
              <w:t>暴雨</w:t>
            </w:r>
          </w:p>
        </w:tc>
        <w:tc>
          <w:tcPr>
            <w:tcW w:w="690" w:type="pct"/>
            <w:vAlign w:val="center"/>
          </w:tcPr>
          <w:p>
            <w:pPr>
              <w:topLinePunct/>
              <w:spacing w:line="240" w:lineRule="auto"/>
              <w:ind w:firstLine="0" w:firstLineChars="0"/>
              <w:jc w:val="center"/>
              <w:rPr>
                <w:sz w:val="21"/>
                <w:szCs w:val="21"/>
              </w:rPr>
            </w:pPr>
            <w:r>
              <w:rPr>
                <w:sz w:val="21"/>
                <w:szCs w:val="21"/>
              </w:rPr>
              <w:t>30</w:t>
            </w:r>
            <w:r>
              <w:rPr>
                <w:rFonts w:hint="eastAsia"/>
                <w:sz w:val="21"/>
                <w:szCs w:val="21"/>
              </w:rPr>
              <w:t>年一遇</w:t>
            </w:r>
          </w:p>
          <w:p>
            <w:pPr>
              <w:topLinePunct/>
              <w:spacing w:line="240" w:lineRule="auto"/>
              <w:ind w:firstLine="0" w:firstLineChars="0"/>
              <w:jc w:val="center"/>
              <w:rPr>
                <w:sz w:val="21"/>
                <w:szCs w:val="21"/>
              </w:rPr>
            </w:pPr>
            <w:r>
              <w:rPr>
                <w:rFonts w:hint="eastAsia"/>
                <w:sz w:val="21"/>
                <w:szCs w:val="21"/>
              </w:rPr>
              <w:t>暴雨</w:t>
            </w:r>
          </w:p>
        </w:tc>
        <w:tc>
          <w:tcPr>
            <w:tcW w:w="690" w:type="pct"/>
            <w:vAlign w:val="center"/>
          </w:tcPr>
          <w:p>
            <w:pPr>
              <w:topLinePunct/>
              <w:spacing w:line="240" w:lineRule="auto"/>
              <w:ind w:firstLine="0" w:firstLineChars="0"/>
              <w:jc w:val="center"/>
              <w:rPr>
                <w:sz w:val="21"/>
                <w:szCs w:val="21"/>
              </w:rPr>
            </w:pPr>
            <w:r>
              <w:rPr>
                <w:sz w:val="21"/>
                <w:szCs w:val="21"/>
              </w:rPr>
              <w:t>50</w:t>
            </w:r>
            <w:r>
              <w:rPr>
                <w:rFonts w:hint="eastAsia"/>
                <w:sz w:val="21"/>
                <w:szCs w:val="21"/>
              </w:rPr>
              <w:t>年一遇</w:t>
            </w:r>
          </w:p>
          <w:p>
            <w:pPr>
              <w:topLinePunct/>
              <w:spacing w:line="240" w:lineRule="auto"/>
              <w:ind w:firstLine="0" w:firstLineChars="0"/>
              <w:jc w:val="center"/>
              <w:rPr>
                <w:sz w:val="21"/>
                <w:szCs w:val="21"/>
              </w:rPr>
            </w:pPr>
            <w:r>
              <w:rPr>
                <w:rFonts w:hint="eastAsia"/>
                <w:sz w:val="21"/>
                <w:szCs w:val="21"/>
              </w:rPr>
              <w:t>暴雨</w:t>
            </w:r>
          </w:p>
        </w:tc>
        <w:tc>
          <w:tcPr>
            <w:tcW w:w="756" w:type="pct"/>
            <w:vAlign w:val="center"/>
          </w:tcPr>
          <w:p>
            <w:pPr>
              <w:topLinePunct/>
              <w:spacing w:line="240" w:lineRule="auto"/>
              <w:ind w:firstLine="0" w:firstLineChars="0"/>
              <w:jc w:val="center"/>
              <w:rPr>
                <w:sz w:val="21"/>
                <w:szCs w:val="21"/>
              </w:rPr>
            </w:pPr>
            <w:r>
              <w:rPr>
                <w:sz w:val="21"/>
                <w:szCs w:val="21"/>
              </w:rPr>
              <w:t>100</w:t>
            </w:r>
            <w:r>
              <w:rPr>
                <w:rFonts w:hint="eastAsia"/>
                <w:sz w:val="21"/>
                <w:szCs w:val="21"/>
              </w:rPr>
              <w:t>年一遇</w:t>
            </w:r>
          </w:p>
          <w:p>
            <w:pPr>
              <w:topLinePunct/>
              <w:spacing w:line="240" w:lineRule="auto"/>
              <w:ind w:firstLine="0" w:firstLineChars="0"/>
              <w:jc w:val="center"/>
              <w:rPr>
                <w:sz w:val="21"/>
                <w:szCs w:val="21"/>
              </w:rPr>
            </w:pPr>
            <w:r>
              <w:rPr>
                <w:rFonts w:hint="eastAsia"/>
                <w:sz w:val="21"/>
                <w:szCs w:val="21"/>
              </w:rPr>
              <w:t>暴雨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482" w:type="pct"/>
            <w:vAlign w:val="center"/>
          </w:tcPr>
          <w:p>
            <w:pPr>
              <w:topLinePunct/>
              <w:spacing w:line="240" w:lineRule="auto"/>
              <w:ind w:firstLine="0" w:firstLineChars="0"/>
              <w:jc w:val="center"/>
              <w:rPr>
                <w:sz w:val="21"/>
                <w:szCs w:val="21"/>
              </w:rPr>
            </w:pPr>
            <w:r>
              <w:rPr>
                <w:sz w:val="21"/>
                <w:szCs w:val="21"/>
              </w:rPr>
              <w:t>24h</w:t>
            </w:r>
            <w:r>
              <w:rPr>
                <w:rFonts w:hint="eastAsia"/>
                <w:sz w:val="21"/>
                <w:szCs w:val="21"/>
              </w:rPr>
              <w:t>最大暴雨量（</w:t>
            </w:r>
            <w:r>
              <w:rPr>
                <w:sz w:val="21"/>
                <w:szCs w:val="21"/>
              </w:rPr>
              <w:t>mm</w:t>
            </w:r>
            <w:r>
              <w:rPr>
                <w:rFonts w:hint="eastAsia"/>
                <w:sz w:val="21"/>
                <w:szCs w:val="21"/>
              </w:rPr>
              <w:t>）</w:t>
            </w:r>
          </w:p>
        </w:tc>
        <w:tc>
          <w:tcPr>
            <w:tcW w:w="690" w:type="pct"/>
            <w:vAlign w:val="center"/>
          </w:tcPr>
          <w:p>
            <w:pPr>
              <w:topLinePunct/>
              <w:spacing w:line="240" w:lineRule="auto"/>
              <w:ind w:firstLine="0" w:firstLineChars="0"/>
              <w:jc w:val="center"/>
              <w:rPr>
                <w:sz w:val="21"/>
                <w:szCs w:val="21"/>
              </w:rPr>
            </w:pPr>
            <w:r>
              <w:rPr>
                <w:sz w:val="21"/>
                <w:szCs w:val="21"/>
              </w:rPr>
              <w:t>180.8</w:t>
            </w:r>
          </w:p>
        </w:tc>
        <w:tc>
          <w:tcPr>
            <w:tcW w:w="690" w:type="pct"/>
            <w:vAlign w:val="center"/>
          </w:tcPr>
          <w:p>
            <w:pPr>
              <w:topLinePunct/>
              <w:spacing w:line="240" w:lineRule="auto"/>
              <w:ind w:firstLine="0" w:firstLineChars="0"/>
              <w:jc w:val="center"/>
              <w:rPr>
                <w:sz w:val="21"/>
                <w:szCs w:val="21"/>
              </w:rPr>
            </w:pPr>
            <w:r>
              <w:rPr>
                <w:sz w:val="21"/>
                <w:szCs w:val="21"/>
              </w:rPr>
              <w:t>206.9</w:t>
            </w:r>
          </w:p>
        </w:tc>
        <w:tc>
          <w:tcPr>
            <w:tcW w:w="690" w:type="pct"/>
            <w:vAlign w:val="center"/>
          </w:tcPr>
          <w:p>
            <w:pPr>
              <w:topLinePunct/>
              <w:spacing w:line="240" w:lineRule="auto"/>
              <w:ind w:firstLine="0" w:firstLineChars="0"/>
              <w:jc w:val="center"/>
              <w:rPr>
                <w:sz w:val="21"/>
                <w:szCs w:val="21"/>
              </w:rPr>
            </w:pPr>
            <w:r>
              <w:rPr>
                <w:sz w:val="21"/>
                <w:szCs w:val="21"/>
              </w:rPr>
              <w:t>221.9</w:t>
            </w:r>
          </w:p>
        </w:tc>
        <w:tc>
          <w:tcPr>
            <w:tcW w:w="690" w:type="pct"/>
            <w:vAlign w:val="center"/>
          </w:tcPr>
          <w:p>
            <w:pPr>
              <w:topLinePunct/>
              <w:spacing w:line="240" w:lineRule="auto"/>
              <w:ind w:firstLine="0" w:firstLineChars="0"/>
              <w:jc w:val="center"/>
              <w:rPr>
                <w:sz w:val="21"/>
                <w:szCs w:val="21"/>
              </w:rPr>
            </w:pPr>
            <w:r>
              <w:rPr>
                <w:sz w:val="21"/>
                <w:szCs w:val="21"/>
              </w:rPr>
              <w:t>240.6</w:t>
            </w:r>
          </w:p>
        </w:tc>
        <w:tc>
          <w:tcPr>
            <w:tcW w:w="756" w:type="pct"/>
            <w:vAlign w:val="center"/>
          </w:tcPr>
          <w:p>
            <w:pPr>
              <w:topLinePunct/>
              <w:spacing w:line="240" w:lineRule="auto"/>
              <w:ind w:firstLine="0" w:firstLineChars="0"/>
              <w:jc w:val="center"/>
              <w:rPr>
                <w:sz w:val="21"/>
                <w:szCs w:val="21"/>
              </w:rPr>
            </w:pPr>
            <w:r>
              <w:rPr>
                <w:sz w:val="21"/>
                <w:szCs w:val="21"/>
              </w:rPr>
              <w:t>265.9</w:t>
            </w:r>
          </w:p>
        </w:tc>
      </w:tr>
    </w:tbl>
    <w:p>
      <w:pPr>
        <w:pStyle w:val="3"/>
        <w:topLinePunct/>
        <w:ind w:firstLine="0" w:firstLineChars="0"/>
      </w:pPr>
      <w:bookmarkStart w:id="24" w:name="_Toc133666650"/>
      <w:bookmarkStart w:id="25" w:name="_Toc134984856"/>
      <w:r>
        <w:rPr>
          <w:rFonts w:hint="eastAsia"/>
        </w:rPr>
        <w:t>（二）分析划定城市内涝高风险区域</w:t>
      </w:r>
      <w:bookmarkEnd w:id="24"/>
      <w:bookmarkEnd w:id="25"/>
    </w:p>
    <w:p>
      <w:pPr>
        <w:topLinePunct/>
        <w:ind w:firstLine="560"/>
        <w:rPr>
          <w:sz w:val="28"/>
          <w:szCs w:val="28"/>
        </w:rPr>
      </w:pPr>
      <w:r>
        <w:rPr>
          <w:rFonts w:hint="eastAsia"/>
          <w:sz w:val="28"/>
          <w:szCs w:val="28"/>
        </w:rPr>
        <w:t>大冶市城区一面依山，三面环湖，自然环境优美，东靠尹家湖，南临大冶湖，西滨三里七湖，红星湖位于市中心，铁金港、东港、长流港等港渠从城区穿过。城区地势较为平坦，西、北部多为平原、丘陵，沿大冶湖南部地势低洼，总体上呈现北高南低，东高西低的地形特征。</w:t>
      </w:r>
    </w:p>
    <w:p>
      <w:pPr>
        <w:pStyle w:val="25"/>
        <w:topLinePunct/>
        <w:ind w:firstLine="560"/>
        <w:rPr>
          <w:sz w:val="28"/>
          <w:szCs w:val="28"/>
        </w:rPr>
      </w:pPr>
      <w:r>
        <w:rPr>
          <w:rFonts w:hint="eastAsia"/>
          <w:sz w:val="28"/>
          <w:szCs w:val="28"/>
        </w:rPr>
        <w:t>根据自然地形特征，结合现状道路及排水通道，将城区分为</w:t>
      </w:r>
      <w:r>
        <w:rPr>
          <w:sz w:val="28"/>
          <w:szCs w:val="28"/>
        </w:rPr>
        <w:t>7</w:t>
      </w:r>
      <w:r>
        <w:rPr>
          <w:rFonts w:hint="eastAsia"/>
          <w:sz w:val="28"/>
          <w:szCs w:val="28"/>
        </w:rPr>
        <w:t>个雨水分区，分别为老城区排水分区、城北排水分区、城西北工业园排水分区、火车站排水分区、罗家桥排水分区、尹家湖排水分区、熊家洲排水分区。</w:t>
      </w:r>
    </w:p>
    <w:p>
      <w:pPr>
        <w:pStyle w:val="25"/>
        <w:topLinePunct/>
        <w:ind w:firstLine="560"/>
        <w:rPr>
          <w:sz w:val="28"/>
          <w:szCs w:val="28"/>
        </w:rPr>
      </w:pPr>
      <w:r>
        <w:rPr>
          <w:rFonts w:hint="eastAsia"/>
          <w:sz w:val="28"/>
          <w:szCs w:val="28"/>
        </w:rPr>
        <w:t>各排水分区名称，面积以及排水出路如下：</w:t>
      </w:r>
    </w:p>
    <w:p>
      <w:pPr>
        <w:numPr>
          <w:ilvl w:val="0"/>
          <w:numId w:val="1"/>
        </w:numPr>
        <w:autoSpaceDE w:val="0"/>
        <w:autoSpaceDN w:val="0"/>
        <w:adjustRightInd w:val="0"/>
        <w:ind w:left="0" w:firstLine="560"/>
        <w:textAlignment w:val="auto"/>
        <w:rPr>
          <w:kern w:val="0"/>
          <w:sz w:val="28"/>
          <w:szCs w:val="28"/>
        </w:rPr>
      </w:pPr>
      <w:r>
        <w:rPr>
          <w:rFonts w:hint="eastAsia"/>
          <w:kern w:val="0"/>
          <w:sz w:val="28"/>
          <w:szCs w:val="28"/>
        </w:rPr>
        <w:t>老城区排水分区（</w:t>
      </w:r>
      <w:r>
        <w:rPr>
          <w:kern w:val="0"/>
          <w:sz w:val="28"/>
          <w:szCs w:val="28"/>
        </w:rPr>
        <w:t>A</w:t>
      </w:r>
      <w:r>
        <w:rPr>
          <w:rFonts w:hint="eastAsia"/>
          <w:kern w:val="0"/>
          <w:sz w:val="28"/>
          <w:szCs w:val="28"/>
        </w:rPr>
        <w:t>）</w:t>
      </w:r>
    </w:p>
    <w:p>
      <w:pPr>
        <w:autoSpaceDE w:val="0"/>
        <w:autoSpaceDN w:val="0"/>
        <w:adjustRightInd w:val="0"/>
        <w:ind w:firstLine="560"/>
        <w:rPr>
          <w:kern w:val="0"/>
          <w:sz w:val="28"/>
          <w:szCs w:val="28"/>
        </w:rPr>
      </w:pPr>
      <w:r>
        <w:rPr>
          <w:rFonts w:hint="eastAsia"/>
          <w:kern w:val="0"/>
          <w:sz w:val="28"/>
          <w:szCs w:val="28"/>
        </w:rPr>
        <w:t>结合水系的分割、排水现状和竖向标高，分成</w:t>
      </w:r>
      <w:r>
        <w:rPr>
          <w:kern w:val="0"/>
          <w:sz w:val="28"/>
          <w:szCs w:val="28"/>
        </w:rPr>
        <w:t>4</w:t>
      </w:r>
      <w:r>
        <w:rPr>
          <w:rFonts w:hint="eastAsia"/>
          <w:kern w:val="0"/>
          <w:sz w:val="28"/>
          <w:szCs w:val="28"/>
        </w:rPr>
        <w:t>个二级排水分区：</w:t>
      </w:r>
    </w:p>
    <w:p>
      <w:pPr>
        <w:autoSpaceDE w:val="0"/>
        <w:autoSpaceDN w:val="0"/>
        <w:adjustRightInd w:val="0"/>
        <w:ind w:firstLine="560"/>
        <w:rPr>
          <w:kern w:val="0"/>
          <w:sz w:val="28"/>
          <w:szCs w:val="28"/>
        </w:rPr>
      </w:pPr>
      <w:r>
        <w:rPr>
          <w:kern w:val="0"/>
          <w:sz w:val="28"/>
          <w:szCs w:val="28"/>
        </w:rPr>
        <w:t>A1</w:t>
      </w:r>
      <w:r>
        <w:rPr>
          <w:rFonts w:hint="eastAsia"/>
          <w:kern w:val="0"/>
          <w:sz w:val="28"/>
          <w:szCs w:val="28"/>
        </w:rPr>
        <w:t>（城西路以西排水区）</w:t>
      </w:r>
    </w:p>
    <w:p>
      <w:pPr>
        <w:autoSpaceDE w:val="0"/>
        <w:autoSpaceDN w:val="0"/>
        <w:adjustRightInd w:val="0"/>
        <w:ind w:firstLine="560"/>
        <w:rPr>
          <w:kern w:val="0"/>
          <w:sz w:val="28"/>
          <w:szCs w:val="28"/>
        </w:rPr>
      </w:pPr>
      <w:r>
        <w:rPr>
          <w:rFonts w:hint="eastAsia"/>
          <w:kern w:val="0"/>
          <w:sz w:val="28"/>
          <w:szCs w:val="28"/>
        </w:rPr>
        <w:t>本排水区主要收集城西路以西、长流港以东、东风路以南、矿冶大道以北片区雨水，汇水面积</w:t>
      </w:r>
      <w:r>
        <w:rPr>
          <w:kern w:val="0"/>
          <w:sz w:val="28"/>
          <w:szCs w:val="28"/>
        </w:rPr>
        <w:t>82hm</w:t>
      </w:r>
      <w:r>
        <w:rPr>
          <w:kern w:val="0"/>
          <w:sz w:val="28"/>
          <w:szCs w:val="28"/>
          <w:vertAlign w:val="superscript"/>
        </w:rPr>
        <w:t>2</w:t>
      </w:r>
      <w:r>
        <w:rPr>
          <w:rFonts w:hint="eastAsia"/>
          <w:kern w:val="0"/>
          <w:sz w:val="28"/>
          <w:szCs w:val="28"/>
        </w:rPr>
        <w:t>，雨水主要排往长流港。</w:t>
      </w:r>
    </w:p>
    <w:p>
      <w:pPr>
        <w:autoSpaceDE w:val="0"/>
        <w:autoSpaceDN w:val="0"/>
        <w:adjustRightInd w:val="0"/>
        <w:ind w:firstLine="560"/>
        <w:rPr>
          <w:kern w:val="0"/>
          <w:sz w:val="28"/>
          <w:szCs w:val="28"/>
        </w:rPr>
      </w:pPr>
      <w:r>
        <w:rPr>
          <w:kern w:val="0"/>
          <w:sz w:val="28"/>
          <w:szCs w:val="28"/>
        </w:rPr>
        <w:t>A2</w:t>
      </w:r>
      <w:r>
        <w:rPr>
          <w:rFonts w:hint="eastAsia"/>
          <w:kern w:val="0"/>
          <w:sz w:val="28"/>
          <w:szCs w:val="28"/>
        </w:rPr>
        <w:t>（湖滨路以西排水区）</w:t>
      </w:r>
    </w:p>
    <w:p>
      <w:pPr>
        <w:autoSpaceDE w:val="0"/>
        <w:autoSpaceDN w:val="0"/>
        <w:adjustRightInd w:val="0"/>
        <w:ind w:firstLine="560"/>
        <w:rPr>
          <w:kern w:val="0"/>
          <w:sz w:val="28"/>
          <w:szCs w:val="28"/>
        </w:rPr>
      </w:pPr>
      <w:r>
        <w:rPr>
          <w:rFonts w:hint="eastAsia"/>
          <w:kern w:val="0"/>
          <w:sz w:val="28"/>
          <w:szCs w:val="28"/>
        </w:rPr>
        <w:t>本排水区属于老城区生活与商业片区，区域内现状基本采用雨污合流制，汇水面积</w:t>
      </w:r>
      <w:r>
        <w:rPr>
          <w:kern w:val="0"/>
          <w:sz w:val="28"/>
          <w:szCs w:val="28"/>
        </w:rPr>
        <w:t>192hm</w:t>
      </w:r>
      <w:r>
        <w:rPr>
          <w:kern w:val="0"/>
          <w:sz w:val="28"/>
          <w:szCs w:val="28"/>
          <w:vertAlign w:val="superscript"/>
        </w:rPr>
        <w:t>2</w:t>
      </w:r>
      <w:r>
        <w:rPr>
          <w:rFonts w:hint="eastAsia"/>
          <w:kern w:val="0"/>
          <w:sz w:val="28"/>
          <w:szCs w:val="28"/>
        </w:rPr>
        <w:t>，主要收集东风路以南、大冶大道以东、湖滨路以西范围内的雨水。片区内的雨水分四处就近分散排入红星湖和长流港。</w:t>
      </w:r>
    </w:p>
    <w:p>
      <w:pPr>
        <w:autoSpaceDE w:val="0"/>
        <w:autoSpaceDN w:val="0"/>
        <w:adjustRightInd w:val="0"/>
        <w:ind w:firstLine="560"/>
        <w:rPr>
          <w:kern w:val="0"/>
          <w:sz w:val="28"/>
          <w:szCs w:val="28"/>
        </w:rPr>
      </w:pPr>
      <w:r>
        <w:rPr>
          <w:kern w:val="0"/>
          <w:sz w:val="28"/>
          <w:szCs w:val="28"/>
        </w:rPr>
        <w:t>A3</w:t>
      </w:r>
      <w:r>
        <w:rPr>
          <w:rFonts w:hint="eastAsia"/>
          <w:kern w:val="0"/>
          <w:sz w:val="28"/>
          <w:szCs w:val="28"/>
        </w:rPr>
        <w:t>（红星湖以东排水区）</w:t>
      </w:r>
    </w:p>
    <w:p>
      <w:pPr>
        <w:autoSpaceDE w:val="0"/>
        <w:autoSpaceDN w:val="0"/>
        <w:adjustRightInd w:val="0"/>
        <w:ind w:firstLine="560"/>
        <w:rPr>
          <w:kern w:val="0"/>
          <w:sz w:val="28"/>
          <w:szCs w:val="28"/>
        </w:rPr>
      </w:pPr>
      <w:r>
        <w:rPr>
          <w:rFonts w:hint="eastAsia"/>
          <w:kern w:val="0"/>
          <w:sz w:val="28"/>
          <w:szCs w:val="28"/>
        </w:rPr>
        <w:t>本排水区属于老城区生活区，主要收集东风东路以南、金湖大道以西、青龙路以北、尹家湖以东区域的雨水，汇水面积</w:t>
      </w:r>
      <w:r>
        <w:rPr>
          <w:kern w:val="0"/>
          <w:sz w:val="28"/>
          <w:szCs w:val="28"/>
        </w:rPr>
        <w:t>41hm</w:t>
      </w:r>
      <w:r>
        <w:rPr>
          <w:kern w:val="0"/>
          <w:sz w:val="28"/>
          <w:szCs w:val="28"/>
          <w:vertAlign w:val="superscript"/>
        </w:rPr>
        <w:t>2</w:t>
      </w:r>
      <w:r>
        <w:rPr>
          <w:rFonts w:hint="eastAsia"/>
          <w:kern w:val="0"/>
          <w:sz w:val="28"/>
          <w:szCs w:val="28"/>
        </w:rPr>
        <w:t>，区域内的雨水主要排往红星湖。</w:t>
      </w:r>
    </w:p>
    <w:p>
      <w:pPr>
        <w:autoSpaceDE w:val="0"/>
        <w:autoSpaceDN w:val="0"/>
        <w:adjustRightInd w:val="0"/>
        <w:ind w:firstLine="560"/>
        <w:rPr>
          <w:kern w:val="0"/>
          <w:sz w:val="28"/>
          <w:szCs w:val="28"/>
        </w:rPr>
      </w:pPr>
      <w:r>
        <w:rPr>
          <w:kern w:val="0"/>
          <w:sz w:val="28"/>
          <w:szCs w:val="28"/>
        </w:rPr>
        <w:t>A4</w:t>
      </w:r>
      <w:r>
        <w:rPr>
          <w:rFonts w:hint="eastAsia"/>
          <w:kern w:val="0"/>
          <w:sz w:val="28"/>
          <w:szCs w:val="28"/>
        </w:rPr>
        <w:t>（金湖大道以东排水区）</w:t>
      </w:r>
    </w:p>
    <w:p>
      <w:pPr>
        <w:autoSpaceDE w:val="0"/>
        <w:autoSpaceDN w:val="0"/>
        <w:adjustRightInd w:val="0"/>
        <w:ind w:firstLine="560"/>
        <w:rPr>
          <w:kern w:val="0"/>
          <w:sz w:val="28"/>
          <w:szCs w:val="28"/>
        </w:rPr>
      </w:pPr>
      <w:r>
        <w:rPr>
          <w:rFonts w:hint="eastAsia"/>
          <w:kern w:val="0"/>
          <w:sz w:val="28"/>
          <w:szCs w:val="28"/>
        </w:rPr>
        <w:t>本排水区主要收集东风路以南，金湖大道以东的雨水，汇水面积</w:t>
      </w:r>
      <w:r>
        <w:rPr>
          <w:kern w:val="0"/>
          <w:sz w:val="28"/>
          <w:szCs w:val="28"/>
        </w:rPr>
        <w:t>42hm</w:t>
      </w:r>
      <w:r>
        <w:rPr>
          <w:kern w:val="0"/>
          <w:sz w:val="28"/>
          <w:szCs w:val="28"/>
          <w:vertAlign w:val="superscript"/>
        </w:rPr>
        <w:t>2</w:t>
      </w:r>
      <w:r>
        <w:rPr>
          <w:rFonts w:hint="eastAsia"/>
          <w:kern w:val="0"/>
          <w:sz w:val="28"/>
          <w:szCs w:val="28"/>
        </w:rPr>
        <w:t>，雨水主要排往大冶湖。</w:t>
      </w:r>
    </w:p>
    <w:p>
      <w:pPr>
        <w:numPr>
          <w:ilvl w:val="0"/>
          <w:numId w:val="1"/>
        </w:numPr>
        <w:autoSpaceDE w:val="0"/>
        <w:autoSpaceDN w:val="0"/>
        <w:adjustRightInd w:val="0"/>
        <w:ind w:left="0" w:firstLine="560"/>
        <w:textAlignment w:val="auto"/>
        <w:rPr>
          <w:kern w:val="0"/>
          <w:sz w:val="28"/>
          <w:szCs w:val="28"/>
        </w:rPr>
      </w:pPr>
      <w:r>
        <w:rPr>
          <w:rFonts w:hint="eastAsia"/>
          <w:kern w:val="0"/>
          <w:sz w:val="28"/>
          <w:szCs w:val="28"/>
        </w:rPr>
        <w:t>城北排水分区（</w:t>
      </w:r>
      <w:r>
        <w:rPr>
          <w:kern w:val="0"/>
          <w:sz w:val="28"/>
          <w:szCs w:val="28"/>
        </w:rPr>
        <w:t>B</w:t>
      </w:r>
      <w:r>
        <w:rPr>
          <w:rFonts w:hint="eastAsia"/>
          <w:kern w:val="0"/>
          <w:sz w:val="28"/>
          <w:szCs w:val="28"/>
        </w:rPr>
        <w:t>）</w:t>
      </w:r>
    </w:p>
    <w:p>
      <w:pPr>
        <w:autoSpaceDE w:val="0"/>
        <w:autoSpaceDN w:val="0"/>
        <w:adjustRightInd w:val="0"/>
        <w:ind w:firstLine="560"/>
        <w:rPr>
          <w:kern w:val="0"/>
          <w:sz w:val="28"/>
          <w:szCs w:val="28"/>
        </w:rPr>
      </w:pPr>
      <w:r>
        <w:rPr>
          <w:rFonts w:hint="eastAsia"/>
          <w:kern w:val="0"/>
          <w:sz w:val="28"/>
          <w:szCs w:val="28"/>
        </w:rPr>
        <w:t>本排水区主要包括七里界以南、东风路以北、大冶大道以东、金湖大道以西片区，汇水面积</w:t>
      </w:r>
      <w:r>
        <w:rPr>
          <w:kern w:val="0"/>
          <w:sz w:val="28"/>
          <w:szCs w:val="28"/>
        </w:rPr>
        <w:t>488hm</w:t>
      </w:r>
      <w:r>
        <w:rPr>
          <w:kern w:val="0"/>
          <w:sz w:val="28"/>
          <w:szCs w:val="28"/>
          <w:vertAlign w:val="superscript"/>
        </w:rPr>
        <w:t>2</w:t>
      </w:r>
      <w:r>
        <w:rPr>
          <w:rFonts w:hint="eastAsia"/>
          <w:kern w:val="0"/>
          <w:sz w:val="28"/>
          <w:szCs w:val="28"/>
        </w:rPr>
        <w:t>，雨水主要排往尹家湖和红星湖。</w:t>
      </w:r>
    </w:p>
    <w:p>
      <w:pPr>
        <w:numPr>
          <w:ilvl w:val="0"/>
          <w:numId w:val="1"/>
        </w:numPr>
        <w:autoSpaceDE w:val="0"/>
        <w:autoSpaceDN w:val="0"/>
        <w:adjustRightInd w:val="0"/>
        <w:ind w:left="0" w:firstLine="560"/>
        <w:textAlignment w:val="auto"/>
        <w:rPr>
          <w:kern w:val="0"/>
          <w:sz w:val="28"/>
          <w:szCs w:val="28"/>
        </w:rPr>
      </w:pPr>
      <w:r>
        <w:rPr>
          <w:rFonts w:hint="eastAsia"/>
          <w:kern w:val="0"/>
          <w:sz w:val="28"/>
          <w:szCs w:val="28"/>
        </w:rPr>
        <w:t>城西北工业园排水分区（</w:t>
      </w:r>
      <w:r>
        <w:rPr>
          <w:kern w:val="0"/>
          <w:sz w:val="28"/>
          <w:szCs w:val="28"/>
        </w:rPr>
        <w:t>C</w:t>
      </w:r>
      <w:r>
        <w:rPr>
          <w:rFonts w:hint="eastAsia"/>
          <w:kern w:val="0"/>
          <w:sz w:val="28"/>
          <w:szCs w:val="28"/>
        </w:rPr>
        <w:t>）</w:t>
      </w:r>
    </w:p>
    <w:p>
      <w:pPr>
        <w:autoSpaceDE w:val="0"/>
        <w:autoSpaceDN w:val="0"/>
        <w:adjustRightInd w:val="0"/>
        <w:ind w:firstLine="560"/>
        <w:rPr>
          <w:kern w:val="0"/>
          <w:sz w:val="28"/>
          <w:szCs w:val="28"/>
        </w:rPr>
      </w:pPr>
      <w:r>
        <w:rPr>
          <w:rFonts w:hint="eastAsia"/>
          <w:kern w:val="0"/>
          <w:sz w:val="28"/>
          <w:szCs w:val="28"/>
        </w:rPr>
        <w:t>结合水系的分割、排水现状和竖向标高，分成</w:t>
      </w:r>
      <w:r>
        <w:rPr>
          <w:kern w:val="0"/>
          <w:sz w:val="28"/>
          <w:szCs w:val="28"/>
        </w:rPr>
        <w:t>4</w:t>
      </w:r>
      <w:r>
        <w:rPr>
          <w:rFonts w:hint="eastAsia"/>
          <w:kern w:val="0"/>
          <w:sz w:val="28"/>
          <w:szCs w:val="28"/>
        </w:rPr>
        <w:t>个二级排水分区：</w:t>
      </w:r>
    </w:p>
    <w:p>
      <w:pPr>
        <w:autoSpaceDE w:val="0"/>
        <w:autoSpaceDN w:val="0"/>
        <w:adjustRightInd w:val="0"/>
        <w:ind w:firstLine="560"/>
        <w:rPr>
          <w:kern w:val="0"/>
          <w:sz w:val="28"/>
          <w:szCs w:val="28"/>
        </w:rPr>
      </w:pPr>
      <w:r>
        <w:rPr>
          <w:kern w:val="0"/>
          <w:sz w:val="28"/>
          <w:szCs w:val="28"/>
        </w:rPr>
        <w:t>C1</w:t>
      </w:r>
      <w:r>
        <w:rPr>
          <w:rFonts w:hint="eastAsia"/>
          <w:kern w:val="0"/>
          <w:sz w:val="28"/>
          <w:szCs w:val="28"/>
        </w:rPr>
        <w:t>（铁金港以西、金阳路以北片区）</w:t>
      </w:r>
    </w:p>
    <w:p>
      <w:pPr>
        <w:autoSpaceDE w:val="0"/>
        <w:autoSpaceDN w:val="0"/>
        <w:adjustRightInd w:val="0"/>
        <w:ind w:firstLine="560"/>
        <w:rPr>
          <w:kern w:val="0"/>
          <w:sz w:val="28"/>
          <w:szCs w:val="28"/>
        </w:rPr>
      </w:pPr>
      <w:r>
        <w:rPr>
          <w:rFonts w:hint="eastAsia"/>
          <w:kern w:val="0"/>
          <w:sz w:val="28"/>
          <w:szCs w:val="28"/>
        </w:rPr>
        <w:t>本排水区主要包括铁金港以西、大广高速以东、金阳路以北片区，汇水面积</w:t>
      </w:r>
      <w:r>
        <w:rPr>
          <w:kern w:val="0"/>
          <w:sz w:val="28"/>
          <w:szCs w:val="28"/>
        </w:rPr>
        <w:t>863hm</w:t>
      </w:r>
      <w:r>
        <w:rPr>
          <w:kern w:val="0"/>
          <w:sz w:val="28"/>
          <w:szCs w:val="28"/>
          <w:vertAlign w:val="superscript"/>
        </w:rPr>
        <w:t>2</w:t>
      </w:r>
      <w:r>
        <w:rPr>
          <w:rFonts w:hint="eastAsia"/>
          <w:kern w:val="0"/>
          <w:sz w:val="28"/>
          <w:szCs w:val="28"/>
        </w:rPr>
        <w:t>，雨水主要排往铁金港和三里七湖。</w:t>
      </w:r>
    </w:p>
    <w:p>
      <w:pPr>
        <w:autoSpaceDE w:val="0"/>
        <w:autoSpaceDN w:val="0"/>
        <w:adjustRightInd w:val="0"/>
        <w:ind w:firstLine="560"/>
        <w:rPr>
          <w:kern w:val="0"/>
          <w:sz w:val="28"/>
          <w:szCs w:val="28"/>
        </w:rPr>
      </w:pPr>
      <w:r>
        <w:rPr>
          <w:kern w:val="0"/>
          <w:sz w:val="28"/>
          <w:szCs w:val="28"/>
        </w:rPr>
        <w:t>C2</w:t>
      </w:r>
      <w:r>
        <w:rPr>
          <w:rFonts w:hint="eastAsia"/>
          <w:kern w:val="0"/>
          <w:sz w:val="28"/>
          <w:szCs w:val="28"/>
        </w:rPr>
        <w:t>（铁金港以东、金阳路北片区）</w:t>
      </w:r>
    </w:p>
    <w:p>
      <w:pPr>
        <w:autoSpaceDE w:val="0"/>
        <w:autoSpaceDN w:val="0"/>
        <w:adjustRightInd w:val="0"/>
        <w:ind w:firstLine="560"/>
        <w:rPr>
          <w:kern w:val="0"/>
          <w:sz w:val="28"/>
          <w:szCs w:val="28"/>
        </w:rPr>
      </w:pPr>
      <w:r>
        <w:rPr>
          <w:rFonts w:hint="eastAsia"/>
          <w:kern w:val="0"/>
          <w:sz w:val="28"/>
          <w:szCs w:val="28"/>
        </w:rPr>
        <w:t>本排水区主要包括铁金港以东以北、武九铁路西南、金阳路以北片区，汇水面积</w:t>
      </w:r>
      <w:r>
        <w:rPr>
          <w:kern w:val="0"/>
          <w:sz w:val="28"/>
          <w:szCs w:val="28"/>
        </w:rPr>
        <w:t>907hm</w:t>
      </w:r>
      <w:r>
        <w:rPr>
          <w:kern w:val="0"/>
          <w:sz w:val="28"/>
          <w:szCs w:val="28"/>
          <w:vertAlign w:val="superscript"/>
        </w:rPr>
        <w:t>2</w:t>
      </w:r>
      <w:r>
        <w:rPr>
          <w:rFonts w:hint="eastAsia"/>
          <w:kern w:val="0"/>
          <w:sz w:val="28"/>
          <w:szCs w:val="28"/>
        </w:rPr>
        <w:t>，雨水主要排往铁金港和东港，最终汇向三里七湖。</w:t>
      </w:r>
    </w:p>
    <w:p>
      <w:pPr>
        <w:autoSpaceDE w:val="0"/>
        <w:autoSpaceDN w:val="0"/>
        <w:adjustRightInd w:val="0"/>
        <w:ind w:firstLine="560"/>
        <w:rPr>
          <w:kern w:val="0"/>
          <w:sz w:val="28"/>
          <w:szCs w:val="28"/>
        </w:rPr>
      </w:pPr>
      <w:r>
        <w:rPr>
          <w:kern w:val="0"/>
          <w:sz w:val="28"/>
          <w:szCs w:val="28"/>
        </w:rPr>
        <w:t>C3</w:t>
      </w:r>
      <w:r>
        <w:rPr>
          <w:rFonts w:hint="eastAsia"/>
          <w:kern w:val="0"/>
          <w:sz w:val="28"/>
          <w:szCs w:val="28"/>
        </w:rPr>
        <w:t>（三里七湖以北、金阳路以南片区）</w:t>
      </w:r>
    </w:p>
    <w:p>
      <w:pPr>
        <w:autoSpaceDE w:val="0"/>
        <w:autoSpaceDN w:val="0"/>
        <w:adjustRightInd w:val="0"/>
        <w:ind w:firstLine="560"/>
        <w:rPr>
          <w:kern w:val="0"/>
          <w:sz w:val="28"/>
          <w:szCs w:val="28"/>
        </w:rPr>
      </w:pPr>
      <w:r>
        <w:rPr>
          <w:rFonts w:hint="eastAsia"/>
          <w:kern w:val="0"/>
          <w:sz w:val="28"/>
          <w:szCs w:val="28"/>
        </w:rPr>
        <w:t>本排水区主要主要包括三里七湖东北、金阳路以南片区，汇水面积</w:t>
      </w:r>
      <w:r>
        <w:rPr>
          <w:kern w:val="0"/>
          <w:sz w:val="28"/>
          <w:szCs w:val="28"/>
        </w:rPr>
        <w:t>437hm</w:t>
      </w:r>
      <w:r>
        <w:rPr>
          <w:kern w:val="0"/>
          <w:sz w:val="28"/>
          <w:szCs w:val="28"/>
          <w:vertAlign w:val="superscript"/>
        </w:rPr>
        <w:t>2</w:t>
      </w:r>
      <w:r>
        <w:rPr>
          <w:rFonts w:hint="eastAsia"/>
          <w:kern w:val="0"/>
          <w:sz w:val="28"/>
          <w:szCs w:val="28"/>
        </w:rPr>
        <w:t>，雨水主要排往东港和三里七湖。</w:t>
      </w:r>
    </w:p>
    <w:p>
      <w:pPr>
        <w:autoSpaceDE w:val="0"/>
        <w:autoSpaceDN w:val="0"/>
        <w:adjustRightInd w:val="0"/>
        <w:ind w:firstLine="560"/>
        <w:rPr>
          <w:kern w:val="0"/>
          <w:sz w:val="28"/>
          <w:szCs w:val="28"/>
        </w:rPr>
      </w:pPr>
      <w:r>
        <w:rPr>
          <w:kern w:val="0"/>
          <w:sz w:val="28"/>
          <w:szCs w:val="28"/>
        </w:rPr>
        <w:t>C4</w:t>
      </w:r>
      <w:r>
        <w:rPr>
          <w:rFonts w:hint="eastAsia"/>
          <w:kern w:val="0"/>
          <w:sz w:val="28"/>
          <w:szCs w:val="28"/>
        </w:rPr>
        <w:t>（长流港以北、长乐大道以南片区）</w:t>
      </w:r>
    </w:p>
    <w:p>
      <w:pPr>
        <w:autoSpaceDE w:val="0"/>
        <w:autoSpaceDN w:val="0"/>
        <w:adjustRightInd w:val="0"/>
        <w:ind w:firstLine="560"/>
        <w:rPr>
          <w:kern w:val="0"/>
          <w:sz w:val="28"/>
          <w:szCs w:val="28"/>
        </w:rPr>
      </w:pPr>
      <w:r>
        <w:rPr>
          <w:rFonts w:hint="eastAsia"/>
          <w:kern w:val="0"/>
          <w:sz w:val="28"/>
          <w:szCs w:val="28"/>
        </w:rPr>
        <w:t>本排水区主要包括长流港以北、长乐大道以南、铜都大道以西片区，汇水面积</w:t>
      </w:r>
      <w:r>
        <w:rPr>
          <w:kern w:val="0"/>
          <w:sz w:val="28"/>
          <w:szCs w:val="28"/>
        </w:rPr>
        <w:t>309hm</w:t>
      </w:r>
      <w:r>
        <w:rPr>
          <w:kern w:val="0"/>
          <w:sz w:val="28"/>
          <w:szCs w:val="28"/>
          <w:vertAlign w:val="superscript"/>
        </w:rPr>
        <w:t>2</w:t>
      </w:r>
      <w:r>
        <w:rPr>
          <w:rFonts w:hint="eastAsia"/>
          <w:kern w:val="0"/>
          <w:sz w:val="28"/>
          <w:szCs w:val="28"/>
        </w:rPr>
        <w:t>，雨水主要排往长流港。</w:t>
      </w:r>
    </w:p>
    <w:p>
      <w:pPr>
        <w:numPr>
          <w:ilvl w:val="0"/>
          <w:numId w:val="1"/>
        </w:numPr>
        <w:autoSpaceDE w:val="0"/>
        <w:autoSpaceDN w:val="0"/>
        <w:adjustRightInd w:val="0"/>
        <w:ind w:left="0" w:firstLine="560"/>
        <w:textAlignment w:val="auto"/>
        <w:rPr>
          <w:kern w:val="0"/>
          <w:sz w:val="28"/>
          <w:szCs w:val="28"/>
        </w:rPr>
      </w:pPr>
      <w:r>
        <w:rPr>
          <w:rFonts w:hint="eastAsia"/>
          <w:kern w:val="0"/>
          <w:sz w:val="28"/>
          <w:szCs w:val="28"/>
        </w:rPr>
        <w:t>火车站排水分区（</w:t>
      </w:r>
      <w:r>
        <w:rPr>
          <w:kern w:val="0"/>
          <w:sz w:val="28"/>
          <w:szCs w:val="28"/>
        </w:rPr>
        <w:t>D</w:t>
      </w:r>
      <w:r>
        <w:rPr>
          <w:rFonts w:hint="eastAsia"/>
          <w:kern w:val="0"/>
          <w:sz w:val="28"/>
          <w:szCs w:val="28"/>
        </w:rPr>
        <w:t>）</w:t>
      </w:r>
    </w:p>
    <w:p>
      <w:pPr>
        <w:autoSpaceDE w:val="0"/>
        <w:autoSpaceDN w:val="0"/>
        <w:adjustRightInd w:val="0"/>
        <w:ind w:firstLine="560"/>
        <w:rPr>
          <w:kern w:val="0"/>
          <w:sz w:val="28"/>
          <w:szCs w:val="28"/>
        </w:rPr>
      </w:pPr>
      <w:r>
        <w:rPr>
          <w:rFonts w:hint="eastAsia"/>
          <w:kern w:val="0"/>
          <w:sz w:val="28"/>
          <w:szCs w:val="28"/>
        </w:rPr>
        <w:t>本排水区主要包括武九铁路以北、工业大道以西片区，汇水面积</w:t>
      </w:r>
      <w:r>
        <w:rPr>
          <w:kern w:val="0"/>
          <w:sz w:val="28"/>
          <w:szCs w:val="28"/>
        </w:rPr>
        <w:t>1000hm</w:t>
      </w:r>
      <w:r>
        <w:rPr>
          <w:kern w:val="0"/>
          <w:sz w:val="28"/>
          <w:szCs w:val="28"/>
          <w:vertAlign w:val="superscript"/>
        </w:rPr>
        <w:t>2</w:t>
      </w:r>
      <w:r>
        <w:rPr>
          <w:rFonts w:hint="eastAsia"/>
          <w:kern w:val="0"/>
          <w:sz w:val="28"/>
          <w:szCs w:val="28"/>
        </w:rPr>
        <w:t>，雨水主要排往东港，最终汇往三里七湖。</w:t>
      </w:r>
    </w:p>
    <w:p>
      <w:pPr>
        <w:numPr>
          <w:ilvl w:val="0"/>
          <w:numId w:val="1"/>
        </w:numPr>
        <w:autoSpaceDE w:val="0"/>
        <w:autoSpaceDN w:val="0"/>
        <w:adjustRightInd w:val="0"/>
        <w:ind w:left="0" w:firstLine="560"/>
        <w:textAlignment w:val="auto"/>
        <w:rPr>
          <w:kern w:val="0"/>
          <w:sz w:val="28"/>
          <w:szCs w:val="28"/>
        </w:rPr>
      </w:pPr>
      <w:r>
        <w:rPr>
          <w:rFonts w:hint="eastAsia" w:cs="宋体"/>
          <w:kern w:val="0"/>
          <w:sz w:val="28"/>
          <w:szCs w:val="28"/>
        </w:rPr>
        <w:t>罗家桥</w:t>
      </w:r>
      <w:r>
        <w:rPr>
          <w:rFonts w:hint="eastAsia"/>
          <w:kern w:val="0"/>
          <w:sz w:val="28"/>
          <w:szCs w:val="28"/>
        </w:rPr>
        <w:t>排水分区（</w:t>
      </w:r>
      <w:r>
        <w:rPr>
          <w:kern w:val="0"/>
          <w:sz w:val="28"/>
          <w:szCs w:val="28"/>
        </w:rPr>
        <w:t>E</w:t>
      </w:r>
      <w:r>
        <w:rPr>
          <w:rFonts w:hint="eastAsia"/>
          <w:kern w:val="0"/>
          <w:sz w:val="28"/>
          <w:szCs w:val="28"/>
        </w:rPr>
        <w:t>）</w:t>
      </w:r>
    </w:p>
    <w:p>
      <w:pPr>
        <w:autoSpaceDE w:val="0"/>
        <w:autoSpaceDN w:val="0"/>
        <w:adjustRightInd w:val="0"/>
        <w:ind w:firstLine="560"/>
        <w:rPr>
          <w:kern w:val="0"/>
          <w:sz w:val="28"/>
          <w:szCs w:val="28"/>
        </w:rPr>
      </w:pPr>
      <w:r>
        <w:rPr>
          <w:rFonts w:hint="eastAsia"/>
          <w:kern w:val="0"/>
          <w:sz w:val="28"/>
          <w:szCs w:val="28"/>
        </w:rPr>
        <w:t>本排水区主要包括工业大道以东、七里界以北片区，汇水面积</w:t>
      </w:r>
      <w:r>
        <w:rPr>
          <w:kern w:val="0"/>
          <w:sz w:val="28"/>
          <w:szCs w:val="28"/>
        </w:rPr>
        <w:t>375hm</w:t>
      </w:r>
      <w:r>
        <w:rPr>
          <w:kern w:val="0"/>
          <w:sz w:val="28"/>
          <w:szCs w:val="28"/>
          <w:vertAlign w:val="superscript"/>
        </w:rPr>
        <w:t>2</w:t>
      </w:r>
      <w:r>
        <w:rPr>
          <w:rFonts w:hint="eastAsia"/>
          <w:kern w:val="0"/>
          <w:sz w:val="28"/>
          <w:szCs w:val="28"/>
        </w:rPr>
        <w:t>，雨水主要排往尹家湖。</w:t>
      </w:r>
    </w:p>
    <w:p>
      <w:pPr>
        <w:numPr>
          <w:ilvl w:val="0"/>
          <w:numId w:val="1"/>
        </w:numPr>
        <w:autoSpaceDE w:val="0"/>
        <w:autoSpaceDN w:val="0"/>
        <w:adjustRightInd w:val="0"/>
        <w:ind w:left="0" w:firstLine="560"/>
        <w:textAlignment w:val="auto"/>
        <w:rPr>
          <w:kern w:val="0"/>
          <w:sz w:val="28"/>
          <w:szCs w:val="28"/>
        </w:rPr>
      </w:pPr>
      <w:r>
        <w:rPr>
          <w:rFonts w:hint="eastAsia"/>
          <w:kern w:val="0"/>
          <w:sz w:val="28"/>
          <w:szCs w:val="28"/>
        </w:rPr>
        <w:t>尹家湖排水分区（</w:t>
      </w:r>
      <w:r>
        <w:rPr>
          <w:kern w:val="0"/>
          <w:sz w:val="28"/>
          <w:szCs w:val="28"/>
        </w:rPr>
        <w:t>F</w:t>
      </w:r>
      <w:r>
        <w:rPr>
          <w:rFonts w:hint="eastAsia"/>
          <w:kern w:val="0"/>
          <w:sz w:val="28"/>
          <w:szCs w:val="28"/>
        </w:rPr>
        <w:t>）</w:t>
      </w:r>
    </w:p>
    <w:p>
      <w:pPr>
        <w:autoSpaceDE w:val="0"/>
        <w:autoSpaceDN w:val="0"/>
        <w:adjustRightInd w:val="0"/>
        <w:ind w:firstLine="560"/>
        <w:rPr>
          <w:rFonts w:cs="宋体"/>
          <w:kern w:val="0"/>
          <w:sz w:val="28"/>
          <w:szCs w:val="28"/>
        </w:rPr>
      </w:pPr>
      <w:r>
        <w:rPr>
          <w:rFonts w:hint="eastAsia" w:cs="宋体"/>
          <w:kern w:val="0"/>
          <w:sz w:val="28"/>
          <w:szCs w:val="28"/>
        </w:rPr>
        <w:t>本排水区主要包括尹家湖以东，大冶湖以北片区，汇水面积</w:t>
      </w:r>
      <w:r>
        <w:rPr>
          <w:kern w:val="0"/>
          <w:sz w:val="28"/>
          <w:szCs w:val="28"/>
        </w:rPr>
        <w:t>373hm</w:t>
      </w:r>
      <w:r>
        <w:rPr>
          <w:kern w:val="0"/>
          <w:sz w:val="28"/>
          <w:szCs w:val="28"/>
          <w:vertAlign w:val="superscript"/>
        </w:rPr>
        <w:t>2</w:t>
      </w:r>
      <w:r>
        <w:rPr>
          <w:rFonts w:hint="eastAsia" w:cs="宋体"/>
          <w:kern w:val="0"/>
          <w:sz w:val="28"/>
          <w:szCs w:val="28"/>
        </w:rPr>
        <w:t>，雨水主要排往尹家湖和大冶湖。</w:t>
      </w:r>
    </w:p>
    <w:p>
      <w:pPr>
        <w:numPr>
          <w:ilvl w:val="0"/>
          <w:numId w:val="1"/>
        </w:numPr>
        <w:autoSpaceDE w:val="0"/>
        <w:autoSpaceDN w:val="0"/>
        <w:adjustRightInd w:val="0"/>
        <w:ind w:left="0" w:firstLine="560"/>
        <w:textAlignment w:val="auto"/>
        <w:rPr>
          <w:kern w:val="0"/>
          <w:sz w:val="28"/>
          <w:szCs w:val="28"/>
        </w:rPr>
      </w:pPr>
      <w:r>
        <w:rPr>
          <w:rFonts w:hint="eastAsia"/>
          <w:kern w:val="0"/>
          <w:sz w:val="28"/>
          <w:szCs w:val="28"/>
        </w:rPr>
        <w:t>熊家洲排水分区（</w:t>
      </w:r>
      <w:r>
        <w:rPr>
          <w:kern w:val="0"/>
          <w:sz w:val="28"/>
          <w:szCs w:val="28"/>
        </w:rPr>
        <w:t>G</w:t>
      </w:r>
      <w:r>
        <w:rPr>
          <w:rFonts w:hint="eastAsia"/>
          <w:kern w:val="0"/>
          <w:sz w:val="28"/>
          <w:szCs w:val="28"/>
        </w:rPr>
        <w:t>）</w:t>
      </w:r>
    </w:p>
    <w:p>
      <w:pPr>
        <w:autoSpaceDE w:val="0"/>
        <w:autoSpaceDN w:val="0"/>
        <w:adjustRightInd w:val="0"/>
        <w:ind w:firstLine="560"/>
        <w:rPr>
          <w:rFonts w:cs="宋体"/>
          <w:kern w:val="0"/>
          <w:sz w:val="28"/>
          <w:szCs w:val="28"/>
        </w:rPr>
      </w:pPr>
      <w:r>
        <w:rPr>
          <w:rFonts w:hint="eastAsia" w:cs="宋体"/>
          <w:kern w:val="0"/>
          <w:sz w:val="28"/>
          <w:szCs w:val="28"/>
        </w:rPr>
        <w:t>根据水系的分割、排水现状和竖向标高等分成</w:t>
      </w:r>
      <w:r>
        <w:rPr>
          <w:rFonts w:cs="宋体"/>
          <w:kern w:val="0"/>
          <w:sz w:val="28"/>
          <w:szCs w:val="28"/>
        </w:rPr>
        <w:t>2</w:t>
      </w:r>
      <w:r>
        <w:rPr>
          <w:rFonts w:hint="eastAsia" w:cs="宋体"/>
          <w:kern w:val="0"/>
          <w:sz w:val="28"/>
          <w:szCs w:val="28"/>
        </w:rPr>
        <w:t>个二级汇水分区：</w:t>
      </w:r>
    </w:p>
    <w:p>
      <w:pPr>
        <w:autoSpaceDE w:val="0"/>
        <w:autoSpaceDN w:val="0"/>
        <w:adjustRightInd w:val="0"/>
        <w:ind w:firstLine="560"/>
        <w:rPr>
          <w:kern w:val="0"/>
          <w:sz w:val="28"/>
          <w:szCs w:val="28"/>
        </w:rPr>
      </w:pPr>
      <w:r>
        <w:rPr>
          <w:kern w:val="0"/>
          <w:sz w:val="28"/>
          <w:szCs w:val="28"/>
        </w:rPr>
        <w:t>G1</w:t>
      </w:r>
      <w:r>
        <w:rPr>
          <w:rFonts w:hint="eastAsia"/>
          <w:kern w:val="0"/>
          <w:sz w:val="28"/>
          <w:szCs w:val="28"/>
        </w:rPr>
        <w:t>（倪家畈港以西片区）</w:t>
      </w:r>
    </w:p>
    <w:p>
      <w:pPr>
        <w:autoSpaceDE w:val="0"/>
        <w:autoSpaceDN w:val="0"/>
        <w:adjustRightInd w:val="0"/>
        <w:ind w:firstLine="560"/>
        <w:rPr>
          <w:rFonts w:cs="宋体"/>
          <w:kern w:val="0"/>
          <w:sz w:val="28"/>
          <w:szCs w:val="28"/>
        </w:rPr>
      </w:pPr>
      <w:r>
        <w:rPr>
          <w:rFonts w:hint="eastAsia" w:cs="宋体"/>
          <w:kern w:val="0"/>
          <w:sz w:val="28"/>
          <w:szCs w:val="28"/>
        </w:rPr>
        <w:t>本排水区主要包括倪家畈港以西片区，汇水面积</w:t>
      </w:r>
      <w:r>
        <w:rPr>
          <w:kern w:val="0"/>
          <w:sz w:val="28"/>
          <w:szCs w:val="28"/>
        </w:rPr>
        <w:t>71hm</w:t>
      </w:r>
      <w:r>
        <w:rPr>
          <w:kern w:val="0"/>
          <w:sz w:val="28"/>
          <w:szCs w:val="28"/>
          <w:vertAlign w:val="superscript"/>
        </w:rPr>
        <w:t>2</w:t>
      </w:r>
      <w:r>
        <w:rPr>
          <w:rFonts w:hint="eastAsia" w:cs="宋体"/>
          <w:kern w:val="0"/>
          <w:sz w:val="28"/>
          <w:szCs w:val="28"/>
        </w:rPr>
        <w:t>，雨水主要排往长流港。</w:t>
      </w:r>
    </w:p>
    <w:p>
      <w:pPr>
        <w:autoSpaceDE w:val="0"/>
        <w:autoSpaceDN w:val="0"/>
        <w:adjustRightInd w:val="0"/>
        <w:ind w:firstLine="560"/>
        <w:rPr>
          <w:kern w:val="0"/>
          <w:sz w:val="28"/>
          <w:szCs w:val="28"/>
        </w:rPr>
      </w:pPr>
      <w:r>
        <w:rPr>
          <w:kern w:val="0"/>
          <w:sz w:val="28"/>
          <w:szCs w:val="28"/>
        </w:rPr>
        <w:t>G2</w:t>
      </w:r>
      <w:r>
        <w:rPr>
          <w:rFonts w:hint="eastAsia"/>
          <w:kern w:val="0"/>
          <w:sz w:val="28"/>
          <w:szCs w:val="28"/>
        </w:rPr>
        <w:t>（倪家畈港以东片区）</w:t>
      </w:r>
    </w:p>
    <w:p>
      <w:pPr>
        <w:pStyle w:val="25"/>
        <w:topLinePunct/>
        <w:ind w:firstLine="560"/>
        <w:rPr>
          <w:sz w:val="28"/>
          <w:szCs w:val="28"/>
        </w:rPr>
      </w:pPr>
      <w:r>
        <w:rPr>
          <w:rFonts w:hint="eastAsia" w:cs="宋体"/>
          <w:sz w:val="28"/>
          <w:szCs w:val="28"/>
        </w:rPr>
        <w:t>本排水区主要包括倪家畈港以东、金湖大道以西、沿湖路以南片区，汇水面积</w:t>
      </w:r>
      <w:r>
        <w:rPr>
          <w:sz w:val="28"/>
          <w:szCs w:val="28"/>
        </w:rPr>
        <w:t>126hm</w:t>
      </w:r>
      <w:r>
        <w:rPr>
          <w:sz w:val="28"/>
          <w:szCs w:val="28"/>
          <w:vertAlign w:val="superscript"/>
        </w:rPr>
        <w:t>2</w:t>
      </w:r>
      <w:r>
        <w:rPr>
          <w:rFonts w:hint="eastAsia" w:cs="宋体"/>
          <w:sz w:val="28"/>
          <w:szCs w:val="28"/>
        </w:rPr>
        <w:t>，雨水主要排往大冶湖。</w:t>
      </w:r>
    </w:p>
    <w:p>
      <w:pPr>
        <w:topLinePunct/>
        <w:ind w:firstLine="560"/>
        <w:rPr>
          <w:rFonts w:asciiTheme="minorHAnsi" w:hAnsiTheme="minorHAnsi"/>
          <w:color w:val="FF0000"/>
          <w:sz w:val="28"/>
          <w:szCs w:val="28"/>
        </w:rPr>
      </w:pPr>
      <w:r>
        <w:rPr>
          <w:rFonts w:hint="eastAsia"/>
          <w:sz w:val="28"/>
          <w:szCs w:val="28"/>
        </w:rPr>
        <w:t>大冶市极端降雨城市内涝高风险区域分布图见附件图</w:t>
      </w:r>
      <w:r>
        <w:rPr>
          <w:sz w:val="28"/>
          <w:szCs w:val="28"/>
        </w:rPr>
        <w:t>1</w:t>
      </w:r>
      <w:r>
        <w:rPr>
          <w:rFonts w:hint="eastAsia"/>
          <w:sz w:val="28"/>
          <w:szCs w:val="28"/>
        </w:rPr>
        <w:t>。</w:t>
      </w:r>
    </w:p>
    <w:p>
      <w:pPr>
        <w:topLinePunct/>
        <w:ind w:firstLine="0" w:firstLineChars="0"/>
        <w:jc w:val="center"/>
      </w:pPr>
      <w:r>
        <w:rPr>
          <w:rFonts w:hint="eastAsia"/>
          <w:b/>
        </w:rPr>
        <w:t>表</w:t>
      </w:r>
      <w:r>
        <w:rPr>
          <w:b/>
        </w:rPr>
        <w:t xml:space="preserve">2-3 </w:t>
      </w:r>
      <w:r>
        <w:rPr>
          <w:rFonts w:hint="eastAsia"/>
          <w:b/>
        </w:rPr>
        <w:t>城市内涝高风险区清单表</w:t>
      </w:r>
    </w:p>
    <w:tbl>
      <w:tblPr>
        <w:tblStyle w:val="17"/>
        <w:tblW w:w="5000" w:type="pct"/>
        <w:tblInd w:w="0" w:type="dxa"/>
        <w:tblLayout w:type="autofit"/>
        <w:tblCellMar>
          <w:top w:w="0" w:type="dxa"/>
          <w:left w:w="108" w:type="dxa"/>
          <w:bottom w:w="0" w:type="dxa"/>
          <w:right w:w="108" w:type="dxa"/>
        </w:tblCellMar>
      </w:tblPr>
      <w:tblGrid>
        <w:gridCol w:w="645"/>
        <w:gridCol w:w="2166"/>
        <w:gridCol w:w="1551"/>
        <w:gridCol w:w="1948"/>
        <w:gridCol w:w="2977"/>
      </w:tblGrid>
      <w:tr>
        <w:tblPrEx>
          <w:tblCellMar>
            <w:top w:w="0" w:type="dxa"/>
            <w:left w:w="108" w:type="dxa"/>
            <w:bottom w:w="0" w:type="dxa"/>
            <w:right w:w="108" w:type="dxa"/>
          </w:tblCellMar>
        </w:tblPrEx>
        <w:trPr>
          <w:trHeight w:val="680" w:hRule="atLeast"/>
          <w:tblHeader/>
        </w:trPr>
        <w:tc>
          <w:tcPr>
            <w:tcW w:w="34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序号</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位置</w:t>
            </w:r>
          </w:p>
        </w:tc>
        <w:tc>
          <w:tcPr>
            <w:tcW w:w="835" w:type="pct"/>
            <w:tcBorders>
              <w:top w:val="single" w:color="auto" w:sz="4" w:space="0"/>
              <w:left w:val="single" w:color="auto" w:sz="4" w:space="0"/>
              <w:bottom w:val="single" w:color="auto" w:sz="4" w:space="0"/>
              <w:right w:val="single" w:color="auto" w:sz="4" w:space="0"/>
            </w:tcBorders>
            <w:vAlign w:val="center"/>
          </w:tcPr>
          <w:p>
            <w:pPr>
              <w:topLinePunct/>
              <w:spacing w:line="240" w:lineRule="auto"/>
              <w:ind w:firstLine="0" w:firstLineChars="0"/>
              <w:jc w:val="center"/>
              <w:rPr>
                <w:sz w:val="21"/>
                <w:szCs w:val="21"/>
              </w:rPr>
            </w:pPr>
            <w:r>
              <w:rPr>
                <w:rFonts w:hint="eastAsia"/>
                <w:sz w:val="21"/>
                <w:szCs w:val="21"/>
              </w:rPr>
              <w:t>预计积水深度</w:t>
            </w:r>
          </w:p>
          <w:p>
            <w:pPr>
              <w:topLinePunct/>
              <w:spacing w:line="240" w:lineRule="auto"/>
              <w:ind w:firstLine="0" w:firstLineChars="0"/>
              <w:jc w:val="center"/>
              <w:rPr>
                <w:rFonts w:cs="宋体"/>
                <w:kern w:val="0"/>
                <w:sz w:val="21"/>
                <w:szCs w:val="21"/>
              </w:rPr>
            </w:pPr>
            <w:r>
              <w:rPr>
                <w:rFonts w:hint="eastAsia"/>
                <w:sz w:val="21"/>
                <w:szCs w:val="21"/>
              </w:rPr>
              <w:t>（</w:t>
            </w:r>
            <w:r>
              <w:rPr>
                <w:sz w:val="21"/>
                <w:szCs w:val="21"/>
              </w:rPr>
              <w:t>mm</w:t>
            </w:r>
            <w:r>
              <w:rPr>
                <w:rFonts w:hint="eastAsia"/>
                <w:sz w:val="21"/>
                <w:szCs w:val="21"/>
              </w:rPr>
              <w:t>）</w:t>
            </w:r>
          </w:p>
        </w:tc>
        <w:tc>
          <w:tcPr>
            <w:tcW w:w="1049" w:type="pct"/>
            <w:tcBorders>
              <w:top w:val="single" w:color="auto" w:sz="4" w:space="0"/>
              <w:left w:val="single" w:color="auto" w:sz="4" w:space="0"/>
              <w:bottom w:val="single" w:color="auto" w:sz="4" w:space="0"/>
              <w:right w:val="single" w:color="auto" w:sz="4" w:space="0"/>
            </w:tcBorders>
          </w:tcPr>
          <w:p>
            <w:pPr>
              <w:topLinePunct/>
              <w:spacing w:line="240" w:lineRule="auto"/>
              <w:ind w:firstLine="0" w:firstLineChars="0"/>
              <w:jc w:val="center"/>
              <w:rPr>
                <w:sz w:val="21"/>
                <w:szCs w:val="21"/>
              </w:rPr>
            </w:pPr>
            <w:r>
              <w:rPr>
                <w:rFonts w:hint="eastAsia"/>
                <w:sz w:val="21"/>
                <w:szCs w:val="21"/>
              </w:rPr>
              <w:t>预计最大积水范围</w:t>
            </w:r>
          </w:p>
          <w:p>
            <w:pPr>
              <w:topLinePunct/>
              <w:spacing w:line="240" w:lineRule="auto"/>
              <w:ind w:firstLine="0" w:firstLineChars="0"/>
              <w:jc w:val="center"/>
              <w:rPr>
                <w:sz w:val="21"/>
                <w:szCs w:val="21"/>
              </w:rPr>
            </w:pPr>
            <w:r>
              <w:rPr>
                <w:rFonts w:hint="eastAsia"/>
                <w:sz w:val="21"/>
                <w:szCs w:val="21"/>
              </w:rPr>
              <w:t>（</w:t>
            </w:r>
            <w:r>
              <w:rPr>
                <w:sz w:val="21"/>
                <w:szCs w:val="21"/>
              </w:rPr>
              <w:t>hm</w:t>
            </w:r>
            <w:r>
              <w:rPr>
                <w:sz w:val="21"/>
                <w:szCs w:val="21"/>
                <w:vertAlign w:val="superscript"/>
              </w:rPr>
              <w:t>2</w:t>
            </w:r>
            <w:r>
              <w:rPr>
                <w:rFonts w:hint="eastAsia"/>
                <w:sz w:val="21"/>
                <w:szCs w:val="21"/>
              </w:rPr>
              <w:t>）</w:t>
            </w:r>
          </w:p>
        </w:tc>
        <w:tc>
          <w:tcPr>
            <w:tcW w:w="1603" w:type="pct"/>
            <w:tcBorders>
              <w:top w:val="single" w:color="auto" w:sz="4" w:space="0"/>
              <w:left w:val="single" w:color="auto" w:sz="4" w:space="0"/>
              <w:bottom w:val="single" w:color="auto" w:sz="4" w:space="0"/>
              <w:right w:val="single" w:color="auto" w:sz="4" w:space="0"/>
            </w:tcBorders>
            <w:vAlign w:val="center"/>
          </w:tcPr>
          <w:p>
            <w:pPr>
              <w:topLinePunct/>
              <w:spacing w:line="240" w:lineRule="auto"/>
              <w:ind w:firstLine="0" w:firstLineChars="0"/>
              <w:jc w:val="center"/>
              <w:rPr>
                <w:sz w:val="21"/>
                <w:szCs w:val="21"/>
              </w:rPr>
            </w:pPr>
            <w:r>
              <w:rPr>
                <w:rFonts w:hint="eastAsia"/>
                <w:sz w:val="21"/>
                <w:szCs w:val="21"/>
              </w:rPr>
              <w:t>可能造成的灾害情况</w:t>
            </w:r>
          </w:p>
        </w:tc>
      </w:tr>
      <w:tr>
        <w:tblPrEx>
          <w:tblCellMar>
            <w:top w:w="0" w:type="dxa"/>
            <w:left w:w="108" w:type="dxa"/>
            <w:bottom w:w="0" w:type="dxa"/>
            <w:right w:w="108" w:type="dxa"/>
          </w:tblCellMar>
        </w:tblPrEx>
        <w:trPr>
          <w:trHeight w:val="567" w:hRule="atLeast"/>
        </w:trPr>
        <w:tc>
          <w:tcPr>
            <w:tcW w:w="34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cs="宋体"/>
                <w:kern w:val="0"/>
                <w:sz w:val="21"/>
                <w:szCs w:val="21"/>
              </w:rPr>
              <w:t>1</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城西铁路桥</w:t>
            </w:r>
          </w:p>
        </w:tc>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机动车无法通行</w:t>
            </w:r>
          </w:p>
        </w:tc>
      </w:tr>
      <w:tr>
        <w:tblPrEx>
          <w:tblCellMar>
            <w:top w:w="0" w:type="dxa"/>
            <w:left w:w="108" w:type="dxa"/>
            <w:bottom w:w="0" w:type="dxa"/>
            <w:right w:w="108" w:type="dxa"/>
          </w:tblCellMar>
        </w:tblPrEx>
        <w:trPr>
          <w:trHeight w:val="567" w:hRule="atLeast"/>
        </w:trPr>
        <w:tc>
          <w:tcPr>
            <w:tcW w:w="34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2</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青龙路绿茵长廊</w:t>
            </w:r>
          </w:p>
        </w:tc>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sz w:val="21"/>
                <w:szCs w:val="21"/>
              </w:rPr>
            </w:pPr>
            <w:r>
              <w:rPr>
                <w:sz w:val="21"/>
                <w:szCs w:val="21"/>
              </w:rPr>
              <w:t>50cm</w:t>
            </w:r>
            <w:r>
              <w:rPr>
                <w:rFonts w:hint="eastAsia"/>
                <w:sz w:val="21"/>
                <w:szCs w:val="21"/>
              </w:rPr>
              <w:t>以上</w:t>
            </w:r>
          </w:p>
        </w:tc>
        <w:tc>
          <w:tcPr>
            <w:tcW w:w="10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机动车无法通行，周边居民用房屋内进水</w:t>
            </w:r>
          </w:p>
        </w:tc>
      </w:tr>
      <w:tr>
        <w:tblPrEx>
          <w:tblCellMar>
            <w:top w:w="0" w:type="dxa"/>
            <w:left w:w="108" w:type="dxa"/>
            <w:bottom w:w="0" w:type="dxa"/>
            <w:right w:w="108" w:type="dxa"/>
          </w:tblCellMar>
        </w:tblPrEx>
        <w:trPr>
          <w:trHeight w:val="567" w:hRule="atLeast"/>
        </w:trPr>
        <w:tc>
          <w:tcPr>
            <w:tcW w:w="34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3</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敬业场</w:t>
            </w:r>
          </w:p>
        </w:tc>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sz w:val="21"/>
                <w:szCs w:val="21"/>
              </w:rPr>
            </w:pPr>
            <w:r>
              <w:rPr>
                <w:sz w:val="21"/>
                <w:szCs w:val="21"/>
              </w:rPr>
              <w:t>50cm</w:t>
            </w:r>
            <w:r>
              <w:rPr>
                <w:rFonts w:hint="eastAsia"/>
                <w:sz w:val="21"/>
                <w:szCs w:val="21"/>
              </w:rPr>
              <w:t>以上</w:t>
            </w:r>
          </w:p>
        </w:tc>
        <w:tc>
          <w:tcPr>
            <w:tcW w:w="10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机动车无法通行，周边居民用房屋内进水</w:t>
            </w:r>
          </w:p>
        </w:tc>
      </w:tr>
      <w:tr>
        <w:tblPrEx>
          <w:tblCellMar>
            <w:top w:w="0" w:type="dxa"/>
            <w:left w:w="108" w:type="dxa"/>
            <w:bottom w:w="0" w:type="dxa"/>
            <w:right w:w="108" w:type="dxa"/>
          </w:tblCellMar>
        </w:tblPrEx>
        <w:trPr>
          <w:trHeight w:val="567" w:hRule="atLeast"/>
        </w:trPr>
        <w:tc>
          <w:tcPr>
            <w:tcW w:w="34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4</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苑家咀居民区</w:t>
            </w:r>
          </w:p>
        </w:tc>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sz w:val="21"/>
                <w:szCs w:val="21"/>
              </w:rPr>
            </w:pPr>
            <w:r>
              <w:rPr>
                <w:sz w:val="21"/>
                <w:szCs w:val="21"/>
              </w:rPr>
              <w:t>50cm</w:t>
            </w:r>
            <w:r>
              <w:rPr>
                <w:rFonts w:hint="eastAsia"/>
                <w:sz w:val="21"/>
                <w:szCs w:val="21"/>
              </w:rPr>
              <w:t>以上</w:t>
            </w:r>
          </w:p>
        </w:tc>
        <w:tc>
          <w:tcPr>
            <w:tcW w:w="10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周边居民用房屋内进水</w:t>
            </w:r>
          </w:p>
        </w:tc>
      </w:tr>
      <w:tr>
        <w:tblPrEx>
          <w:tblCellMar>
            <w:top w:w="0" w:type="dxa"/>
            <w:left w:w="108" w:type="dxa"/>
            <w:bottom w:w="0" w:type="dxa"/>
            <w:right w:w="108" w:type="dxa"/>
          </w:tblCellMar>
        </w:tblPrEx>
        <w:trPr>
          <w:trHeight w:val="567" w:hRule="atLeast"/>
        </w:trPr>
        <w:tc>
          <w:tcPr>
            <w:tcW w:w="347"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5</w:t>
            </w:r>
          </w:p>
        </w:tc>
        <w:tc>
          <w:tcPr>
            <w:tcW w:w="116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东风东路</w:t>
            </w:r>
            <w:r>
              <w:rPr>
                <w:rFonts w:hint="eastAsia" w:cs="宋体"/>
                <w:kern w:val="0"/>
                <w:sz w:val="21"/>
                <w:szCs w:val="21"/>
                <w:lang w:val="en-US" w:eastAsia="zh-CN"/>
              </w:rPr>
              <w:t>武</w:t>
            </w:r>
            <w:r>
              <w:rPr>
                <w:rFonts w:hint="eastAsia" w:cs="宋体"/>
                <w:kern w:val="0"/>
                <w:sz w:val="21"/>
                <w:szCs w:val="21"/>
              </w:rPr>
              <w:t>九铁路桥</w:t>
            </w:r>
          </w:p>
        </w:tc>
        <w:tc>
          <w:tcPr>
            <w:tcW w:w="835"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机动车无法通行</w:t>
            </w:r>
          </w:p>
        </w:tc>
      </w:tr>
      <w:tr>
        <w:tblPrEx>
          <w:tblCellMar>
            <w:top w:w="0" w:type="dxa"/>
            <w:left w:w="108" w:type="dxa"/>
            <w:bottom w:w="0" w:type="dxa"/>
            <w:right w:w="108" w:type="dxa"/>
          </w:tblCellMar>
        </w:tblPrEx>
        <w:trPr>
          <w:trHeight w:val="567" w:hRule="atLeast"/>
        </w:trPr>
        <w:tc>
          <w:tcPr>
            <w:tcW w:w="347"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6</w:t>
            </w:r>
          </w:p>
        </w:tc>
        <w:tc>
          <w:tcPr>
            <w:tcW w:w="116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矿委转盘</w:t>
            </w:r>
          </w:p>
        </w:tc>
        <w:tc>
          <w:tcPr>
            <w:tcW w:w="835"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机动车无法通行</w:t>
            </w:r>
          </w:p>
        </w:tc>
      </w:tr>
      <w:tr>
        <w:tblPrEx>
          <w:tblCellMar>
            <w:top w:w="0" w:type="dxa"/>
            <w:left w:w="108" w:type="dxa"/>
            <w:bottom w:w="0" w:type="dxa"/>
            <w:right w:w="108" w:type="dxa"/>
          </w:tblCellMar>
        </w:tblPrEx>
        <w:trPr>
          <w:trHeight w:val="567" w:hRule="atLeast"/>
        </w:trPr>
        <w:tc>
          <w:tcPr>
            <w:tcW w:w="347"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7</w:t>
            </w:r>
          </w:p>
        </w:tc>
        <w:tc>
          <w:tcPr>
            <w:tcW w:w="116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下叶巷</w:t>
            </w:r>
          </w:p>
        </w:tc>
        <w:tc>
          <w:tcPr>
            <w:tcW w:w="835"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周边居民用房屋内进水，排水管网无法正常自排</w:t>
            </w:r>
          </w:p>
        </w:tc>
      </w:tr>
      <w:tr>
        <w:tblPrEx>
          <w:tblCellMar>
            <w:top w:w="0" w:type="dxa"/>
            <w:left w:w="108" w:type="dxa"/>
            <w:bottom w:w="0" w:type="dxa"/>
            <w:right w:w="108" w:type="dxa"/>
          </w:tblCellMar>
        </w:tblPrEx>
        <w:trPr>
          <w:trHeight w:val="567" w:hRule="atLeast"/>
        </w:trPr>
        <w:tc>
          <w:tcPr>
            <w:tcW w:w="347"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8</w:t>
            </w:r>
          </w:p>
        </w:tc>
        <w:tc>
          <w:tcPr>
            <w:tcW w:w="116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金湖大道</w:t>
            </w:r>
          </w:p>
        </w:tc>
        <w:tc>
          <w:tcPr>
            <w:tcW w:w="835"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机动车无法通行</w:t>
            </w:r>
          </w:p>
        </w:tc>
      </w:tr>
      <w:tr>
        <w:tblPrEx>
          <w:tblCellMar>
            <w:top w:w="0" w:type="dxa"/>
            <w:left w:w="108" w:type="dxa"/>
            <w:bottom w:w="0" w:type="dxa"/>
            <w:right w:w="108" w:type="dxa"/>
          </w:tblCellMar>
        </w:tblPrEx>
        <w:trPr>
          <w:trHeight w:val="567" w:hRule="atLeast"/>
        </w:trPr>
        <w:tc>
          <w:tcPr>
            <w:tcW w:w="347"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9</w:t>
            </w:r>
          </w:p>
        </w:tc>
        <w:tc>
          <w:tcPr>
            <w:tcW w:w="116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东风路学校</w:t>
            </w:r>
          </w:p>
        </w:tc>
        <w:tc>
          <w:tcPr>
            <w:tcW w:w="835"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周边居民用房屋内进水，排水管网无法正常自排</w:t>
            </w:r>
          </w:p>
        </w:tc>
      </w:tr>
      <w:tr>
        <w:tblPrEx>
          <w:tblCellMar>
            <w:top w:w="0" w:type="dxa"/>
            <w:left w:w="108" w:type="dxa"/>
            <w:bottom w:w="0" w:type="dxa"/>
            <w:right w:w="108" w:type="dxa"/>
          </w:tblCellMar>
        </w:tblPrEx>
        <w:trPr>
          <w:trHeight w:val="567" w:hRule="atLeast"/>
        </w:trPr>
        <w:tc>
          <w:tcPr>
            <w:tcW w:w="347"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1</w:t>
            </w:r>
            <w:r>
              <w:rPr>
                <w:rFonts w:cs="宋体"/>
                <w:kern w:val="0"/>
                <w:sz w:val="21"/>
                <w:szCs w:val="21"/>
              </w:rPr>
              <w:t>0</w:t>
            </w:r>
          </w:p>
        </w:tc>
        <w:tc>
          <w:tcPr>
            <w:tcW w:w="116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快速路铁路桥洞</w:t>
            </w:r>
          </w:p>
        </w:tc>
        <w:tc>
          <w:tcPr>
            <w:tcW w:w="835"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机动车无法通行</w:t>
            </w:r>
          </w:p>
        </w:tc>
      </w:tr>
      <w:tr>
        <w:tblPrEx>
          <w:tblCellMar>
            <w:top w:w="0" w:type="dxa"/>
            <w:left w:w="108" w:type="dxa"/>
            <w:bottom w:w="0" w:type="dxa"/>
            <w:right w:w="108" w:type="dxa"/>
          </w:tblCellMar>
        </w:tblPrEx>
        <w:trPr>
          <w:trHeight w:val="567" w:hRule="atLeast"/>
        </w:trPr>
        <w:tc>
          <w:tcPr>
            <w:tcW w:w="347"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1</w:t>
            </w:r>
            <w:r>
              <w:rPr>
                <w:rFonts w:cs="宋体"/>
                <w:kern w:val="0"/>
                <w:sz w:val="21"/>
                <w:szCs w:val="21"/>
              </w:rPr>
              <w:t>1</w:t>
            </w:r>
          </w:p>
        </w:tc>
        <w:tc>
          <w:tcPr>
            <w:tcW w:w="116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下黄村居民户</w:t>
            </w:r>
          </w:p>
        </w:tc>
        <w:tc>
          <w:tcPr>
            <w:tcW w:w="835"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周边居民用房屋内进水，排水管网无法正常自排</w:t>
            </w:r>
          </w:p>
        </w:tc>
      </w:tr>
      <w:tr>
        <w:tblPrEx>
          <w:tblCellMar>
            <w:top w:w="0" w:type="dxa"/>
            <w:left w:w="108" w:type="dxa"/>
            <w:bottom w:w="0" w:type="dxa"/>
            <w:right w:w="108" w:type="dxa"/>
          </w:tblCellMar>
        </w:tblPrEx>
        <w:trPr>
          <w:trHeight w:val="567" w:hRule="atLeast"/>
        </w:trPr>
        <w:tc>
          <w:tcPr>
            <w:tcW w:w="347"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1</w:t>
            </w:r>
            <w:r>
              <w:rPr>
                <w:rFonts w:cs="宋体"/>
                <w:kern w:val="0"/>
                <w:sz w:val="21"/>
                <w:szCs w:val="21"/>
              </w:rPr>
              <w:t>2</w:t>
            </w:r>
          </w:p>
        </w:tc>
        <w:tc>
          <w:tcPr>
            <w:tcW w:w="116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大棋铁路桥洞</w:t>
            </w:r>
          </w:p>
        </w:tc>
        <w:tc>
          <w:tcPr>
            <w:tcW w:w="835"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机动车无法通行</w:t>
            </w:r>
          </w:p>
        </w:tc>
      </w:tr>
      <w:tr>
        <w:tblPrEx>
          <w:tblCellMar>
            <w:top w:w="0" w:type="dxa"/>
            <w:left w:w="108" w:type="dxa"/>
            <w:bottom w:w="0" w:type="dxa"/>
            <w:right w:w="108" w:type="dxa"/>
          </w:tblCellMar>
        </w:tblPrEx>
        <w:trPr>
          <w:trHeight w:val="567" w:hRule="atLeast"/>
        </w:trPr>
        <w:tc>
          <w:tcPr>
            <w:tcW w:w="347"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1</w:t>
            </w:r>
            <w:r>
              <w:rPr>
                <w:rFonts w:cs="宋体"/>
                <w:kern w:val="0"/>
                <w:sz w:val="21"/>
                <w:szCs w:val="21"/>
              </w:rPr>
              <w:t>3</w:t>
            </w:r>
          </w:p>
        </w:tc>
        <w:tc>
          <w:tcPr>
            <w:tcW w:w="116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站前大道铁路桥洞</w:t>
            </w:r>
          </w:p>
        </w:tc>
        <w:tc>
          <w:tcPr>
            <w:tcW w:w="835"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sz w:val="21"/>
                <w:szCs w:val="21"/>
              </w:rPr>
              <w:t>50cm</w:t>
            </w:r>
            <w:r>
              <w:rPr>
                <w:rFonts w:hint="eastAsia"/>
                <w:sz w:val="21"/>
                <w:szCs w:val="21"/>
              </w:rPr>
              <w:t>以上</w:t>
            </w:r>
          </w:p>
        </w:tc>
        <w:tc>
          <w:tcPr>
            <w:tcW w:w="104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p>
        </w:tc>
        <w:tc>
          <w:tcPr>
            <w:tcW w:w="160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auto"/>
              <w:rPr>
                <w:rFonts w:cs="宋体"/>
                <w:kern w:val="0"/>
                <w:sz w:val="21"/>
                <w:szCs w:val="21"/>
              </w:rPr>
            </w:pPr>
            <w:r>
              <w:rPr>
                <w:rFonts w:hint="eastAsia" w:cs="宋体"/>
                <w:kern w:val="0"/>
                <w:sz w:val="21"/>
                <w:szCs w:val="21"/>
              </w:rPr>
              <w:t>机动车无法通行</w:t>
            </w:r>
          </w:p>
        </w:tc>
      </w:tr>
    </w:tbl>
    <w:p>
      <w:pPr>
        <w:pStyle w:val="3"/>
        <w:topLinePunct/>
        <w:ind w:firstLine="0" w:firstLineChars="0"/>
      </w:pPr>
      <w:bookmarkStart w:id="26" w:name="_Toc134984857"/>
      <w:bookmarkStart w:id="27" w:name="_Toc133666651"/>
      <w:r>
        <w:rPr>
          <w:rFonts w:hint="eastAsia"/>
        </w:rPr>
        <w:t>（三）明确重点防护对象</w:t>
      </w:r>
      <w:bookmarkEnd w:id="26"/>
      <w:bookmarkEnd w:id="27"/>
    </w:p>
    <w:p>
      <w:pPr>
        <w:topLinePunct/>
        <w:ind w:firstLine="560"/>
        <w:rPr>
          <w:rFonts w:asciiTheme="minorHAnsi" w:hAnsiTheme="minorHAnsi"/>
          <w:sz w:val="28"/>
          <w:szCs w:val="28"/>
        </w:rPr>
      </w:pPr>
      <w:r>
        <w:rPr>
          <w:rFonts w:hint="eastAsia"/>
          <w:sz w:val="28"/>
          <w:szCs w:val="28"/>
        </w:rPr>
        <w:t>大冶市极端降雨条件下城市内涝高风险区域内的重点防护对象，主要包括重要排涝设施、重点交通设施、生命线工程、地下空间、人员密集场所等，重点保护对象详细名录分别由各分管部门提供、补充及更正。</w:t>
      </w:r>
    </w:p>
    <w:p>
      <w:pPr>
        <w:pStyle w:val="4"/>
        <w:topLinePunct/>
        <w:spacing w:before="0" w:after="0" w:line="240" w:lineRule="auto"/>
        <w:ind w:firstLine="0" w:firstLineChars="0"/>
        <w:rPr>
          <w:sz w:val="28"/>
          <w:szCs w:val="28"/>
        </w:rPr>
      </w:pPr>
      <w:bookmarkStart w:id="28" w:name="_Toc134984858"/>
      <w:bookmarkStart w:id="29" w:name="_Toc133666652"/>
      <w:r>
        <w:rPr>
          <w:sz w:val="28"/>
          <w:szCs w:val="28"/>
        </w:rPr>
        <w:t>1</w:t>
      </w:r>
      <w:r>
        <w:rPr>
          <w:rFonts w:hint="eastAsia"/>
          <w:sz w:val="28"/>
          <w:szCs w:val="28"/>
        </w:rPr>
        <w:t>、重要排涝设施</w:t>
      </w:r>
      <w:bookmarkEnd w:id="28"/>
      <w:bookmarkEnd w:id="29"/>
    </w:p>
    <w:p>
      <w:pPr>
        <w:topLinePunct/>
        <w:ind w:firstLine="560"/>
        <w:rPr>
          <w:sz w:val="28"/>
          <w:szCs w:val="28"/>
        </w:rPr>
      </w:pPr>
      <w:r>
        <w:rPr>
          <w:rFonts w:hint="eastAsia"/>
          <w:sz w:val="28"/>
          <w:szCs w:val="28"/>
        </w:rPr>
        <w:t>（</w:t>
      </w:r>
      <w:r>
        <w:rPr>
          <w:sz w:val="28"/>
          <w:szCs w:val="28"/>
        </w:rPr>
        <w:t>1</w:t>
      </w:r>
      <w:r>
        <w:rPr>
          <w:rFonts w:hint="eastAsia"/>
          <w:sz w:val="28"/>
          <w:szCs w:val="28"/>
        </w:rPr>
        <w:t>）排涝泵站</w:t>
      </w:r>
    </w:p>
    <w:p>
      <w:pPr>
        <w:topLinePunct/>
        <w:ind w:firstLine="560"/>
        <w:rPr>
          <w:highlight w:val="yellow"/>
        </w:rPr>
      </w:pPr>
      <w:r>
        <w:rPr>
          <w:rFonts w:hint="eastAsia"/>
          <w:sz w:val="28"/>
          <w:szCs w:val="28"/>
        </w:rPr>
        <w:t>大冶市城区主要排涝泵站有赵保湖排涝泵站、三里七排涝站、熊家洲泵站、鸡冠嘴排涝站、青龙泵站、尹家湖闸站、青龙阁排涝站。</w:t>
      </w:r>
    </w:p>
    <w:p>
      <w:pPr>
        <w:topLinePunct/>
        <w:ind w:firstLine="0" w:firstLineChars="0"/>
        <w:jc w:val="center"/>
        <w:rPr>
          <w:rFonts w:eastAsia="黑体"/>
          <w:b/>
          <w:szCs w:val="21"/>
        </w:rPr>
      </w:pPr>
      <w:r>
        <w:rPr>
          <w:rFonts w:hint="eastAsia"/>
          <w:b/>
        </w:rPr>
        <w:t>表</w:t>
      </w:r>
      <w:r>
        <w:rPr>
          <w:b/>
        </w:rPr>
        <w:t xml:space="preserve">2-4 </w:t>
      </w:r>
      <w:r>
        <w:rPr>
          <w:rFonts w:hint="eastAsia"/>
          <w:b/>
        </w:rPr>
        <w:t>现状排涝泵站情况表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361"/>
        <w:gridCol w:w="981"/>
        <w:gridCol w:w="981"/>
        <w:gridCol w:w="981"/>
        <w:gridCol w:w="979"/>
        <w:gridCol w:w="927"/>
        <w:gridCol w:w="698"/>
        <w:gridCol w:w="581"/>
        <w:gridCol w:w="693"/>
        <w:gridCol w:w="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restar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泵站名称</w:t>
            </w:r>
          </w:p>
        </w:tc>
        <w:tc>
          <w:tcPr>
            <w:tcW w:w="733" w:type="pct"/>
            <w:vMerge w:val="restar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位置</w:t>
            </w:r>
          </w:p>
        </w:tc>
        <w:tc>
          <w:tcPr>
            <w:tcW w:w="528" w:type="pct"/>
            <w:vMerge w:val="restar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所属</w:t>
            </w:r>
          </w:p>
          <w:p>
            <w:pPr>
              <w:widowControl/>
              <w:spacing w:line="240" w:lineRule="auto"/>
              <w:ind w:firstLine="0" w:firstLineChars="0"/>
              <w:jc w:val="center"/>
              <w:rPr>
                <w:kern w:val="0"/>
                <w:sz w:val="18"/>
                <w:szCs w:val="18"/>
              </w:rPr>
            </w:pPr>
            <w:r>
              <w:rPr>
                <w:rFonts w:hint="eastAsia"/>
                <w:kern w:val="0"/>
                <w:sz w:val="18"/>
                <w:szCs w:val="18"/>
              </w:rPr>
              <w:t>民垸</w:t>
            </w:r>
          </w:p>
        </w:tc>
        <w:tc>
          <w:tcPr>
            <w:tcW w:w="528" w:type="pct"/>
            <w:vMerge w:val="restar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排水面积（</w:t>
            </w:r>
            <w:r>
              <w:rPr>
                <w:kern w:val="0"/>
                <w:sz w:val="18"/>
                <w:szCs w:val="18"/>
              </w:rPr>
              <w:t>km</w:t>
            </w:r>
            <w:r>
              <w:rPr>
                <w:kern w:val="0"/>
                <w:sz w:val="18"/>
                <w:szCs w:val="18"/>
                <w:vertAlign w:val="superscript"/>
              </w:rPr>
              <w:t>2</w:t>
            </w:r>
            <w:r>
              <w:rPr>
                <w:rFonts w:hint="eastAsia"/>
                <w:kern w:val="0"/>
                <w:sz w:val="18"/>
                <w:szCs w:val="18"/>
              </w:rPr>
              <w:t>）</w:t>
            </w:r>
          </w:p>
        </w:tc>
        <w:tc>
          <w:tcPr>
            <w:tcW w:w="528" w:type="pct"/>
            <w:vMerge w:val="restar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起排水位（</w:t>
            </w:r>
            <w:r>
              <w:rPr>
                <w:kern w:val="0"/>
                <w:sz w:val="18"/>
                <w:szCs w:val="18"/>
              </w:rPr>
              <w:t>m</w:t>
            </w:r>
            <w:r>
              <w:rPr>
                <w:rFonts w:hint="eastAsia"/>
                <w:kern w:val="0"/>
                <w:sz w:val="18"/>
                <w:szCs w:val="18"/>
              </w:rPr>
              <w:t>）</w:t>
            </w:r>
          </w:p>
        </w:tc>
        <w:tc>
          <w:tcPr>
            <w:tcW w:w="527" w:type="pct"/>
            <w:vMerge w:val="restar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设计流量（</w:t>
            </w:r>
            <w:r>
              <w:rPr>
                <w:kern w:val="0"/>
                <w:sz w:val="18"/>
                <w:szCs w:val="18"/>
              </w:rPr>
              <w:t>m</w:t>
            </w:r>
            <w:r>
              <w:rPr>
                <w:kern w:val="0"/>
                <w:sz w:val="18"/>
                <w:szCs w:val="18"/>
                <w:vertAlign w:val="superscript"/>
              </w:rPr>
              <w:t>3</w:t>
            </w:r>
            <w:r>
              <w:rPr>
                <w:kern w:val="0"/>
                <w:sz w:val="18"/>
                <w:szCs w:val="18"/>
              </w:rPr>
              <w:t>/s</w:t>
            </w:r>
            <w:r>
              <w:rPr>
                <w:rFonts w:hint="eastAsia"/>
                <w:kern w:val="0"/>
                <w:sz w:val="18"/>
                <w:szCs w:val="18"/>
              </w:rPr>
              <w:t>）</w:t>
            </w:r>
          </w:p>
        </w:tc>
        <w:tc>
          <w:tcPr>
            <w:tcW w:w="499" w:type="pct"/>
            <w:vMerge w:val="restar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扬程</w:t>
            </w:r>
          </w:p>
          <w:p>
            <w:pPr>
              <w:widowControl/>
              <w:spacing w:line="240" w:lineRule="auto"/>
              <w:ind w:firstLine="0" w:firstLineChars="0"/>
              <w:jc w:val="center"/>
              <w:rPr>
                <w:kern w:val="0"/>
                <w:sz w:val="18"/>
                <w:szCs w:val="18"/>
              </w:rPr>
            </w:pPr>
            <w:r>
              <w:rPr>
                <w:rFonts w:hint="eastAsia"/>
                <w:kern w:val="0"/>
                <w:sz w:val="18"/>
                <w:szCs w:val="18"/>
              </w:rPr>
              <w:t>（</w:t>
            </w:r>
            <w:r>
              <w:rPr>
                <w:kern w:val="0"/>
                <w:sz w:val="18"/>
                <w:szCs w:val="18"/>
              </w:rPr>
              <w:t>m</w:t>
            </w:r>
            <w:r>
              <w:rPr>
                <w:rFonts w:hint="eastAsia"/>
                <w:kern w:val="0"/>
                <w:sz w:val="18"/>
                <w:szCs w:val="18"/>
              </w:rPr>
              <w:t>）</w:t>
            </w:r>
          </w:p>
        </w:tc>
        <w:tc>
          <w:tcPr>
            <w:tcW w:w="689" w:type="pct"/>
            <w:gridSpan w:val="2"/>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装机</w:t>
            </w:r>
          </w:p>
        </w:tc>
        <w:tc>
          <w:tcPr>
            <w:tcW w:w="382" w:type="pct"/>
            <w:gridSpan w:val="2"/>
            <w:vMerge w:val="restar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建成</w:t>
            </w:r>
          </w:p>
          <w:p>
            <w:pPr>
              <w:widowControl/>
              <w:spacing w:line="240" w:lineRule="auto"/>
              <w:ind w:firstLine="0" w:firstLineChars="0"/>
              <w:jc w:val="center"/>
              <w:rPr>
                <w:kern w:val="0"/>
                <w:sz w:val="18"/>
                <w:szCs w:val="18"/>
              </w:rPr>
            </w:pPr>
            <w:r>
              <w:rPr>
                <w:rFonts w:hint="eastAsia"/>
                <w:kern w:val="0"/>
                <w:sz w:val="18"/>
                <w:szCs w:val="18"/>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shd w:val="clear" w:color="auto" w:fill="BFBFBF"/>
            <w:vAlign w:val="center"/>
          </w:tcPr>
          <w:p>
            <w:pPr>
              <w:widowControl/>
              <w:spacing w:line="240" w:lineRule="auto"/>
              <w:ind w:firstLine="0" w:firstLineChars="0"/>
              <w:jc w:val="center"/>
              <w:rPr>
                <w:kern w:val="0"/>
                <w:sz w:val="18"/>
                <w:szCs w:val="18"/>
              </w:rPr>
            </w:pPr>
          </w:p>
        </w:tc>
        <w:tc>
          <w:tcPr>
            <w:tcW w:w="733" w:type="pct"/>
            <w:vMerge w:val="continue"/>
            <w:shd w:val="clear" w:color="auto" w:fill="BFBFBF"/>
            <w:vAlign w:val="center"/>
          </w:tcPr>
          <w:p>
            <w:pPr>
              <w:widowControl/>
              <w:spacing w:line="240" w:lineRule="auto"/>
              <w:ind w:firstLine="0" w:firstLineChars="0"/>
              <w:jc w:val="center"/>
              <w:rPr>
                <w:kern w:val="0"/>
                <w:sz w:val="18"/>
                <w:szCs w:val="18"/>
              </w:rPr>
            </w:pPr>
          </w:p>
        </w:tc>
        <w:tc>
          <w:tcPr>
            <w:tcW w:w="528" w:type="pct"/>
            <w:vMerge w:val="continue"/>
            <w:shd w:val="clear" w:color="auto" w:fill="BFBFBF"/>
            <w:vAlign w:val="center"/>
          </w:tcPr>
          <w:p>
            <w:pPr>
              <w:widowControl/>
              <w:spacing w:line="240" w:lineRule="auto"/>
              <w:ind w:firstLine="0" w:firstLineChars="0"/>
              <w:jc w:val="center"/>
              <w:rPr>
                <w:kern w:val="0"/>
                <w:sz w:val="18"/>
                <w:szCs w:val="18"/>
              </w:rPr>
            </w:pPr>
          </w:p>
        </w:tc>
        <w:tc>
          <w:tcPr>
            <w:tcW w:w="528" w:type="pct"/>
            <w:vMerge w:val="continue"/>
            <w:shd w:val="clear" w:color="auto" w:fill="BFBFBF"/>
            <w:vAlign w:val="center"/>
          </w:tcPr>
          <w:p>
            <w:pPr>
              <w:widowControl/>
              <w:spacing w:line="240" w:lineRule="auto"/>
              <w:ind w:firstLine="0" w:firstLineChars="0"/>
              <w:jc w:val="center"/>
              <w:rPr>
                <w:kern w:val="0"/>
                <w:sz w:val="18"/>
                <w:szCs w:val="18"/>
              </w:rPr>
            </w:pPr>
          </w:p>
        </w:tc>
        <w:tc>
          <w:tcPr>
            <w:tcW w:w="528" w:type="pct"/>
            <w:vMerge w:val="continue"/>
            <w:shd w:val="clear" w:color="auto" w:fill="BFBFBF"/>
            <w:vAlign w:val="center"/>
          </w:tcPr>
          <w:p>
            <w:pPr>
              <w:widowControl/>
              <w:spacing w:line="240" w:lineRule="auto"/>
              <w:ind w:firstLine="0" w:firstLineChars="0"/>
              <w:jc w:val="center"/>
              <w:rPr>
                <w:kern w:val="0"/>
                <w:sz w:val="18"/>
                <w:szCs w:val="18"/>
              </w:rPr>
            </w:pPr>
          </w:p>
        </w:tc>
        <w:tc>
          <w:tcPr>
            <w:tcW w:w="527" w:type="pct"/>
            <w:vMerge w:val="continue"/>
            <w:shd w:val="clear" w:color="auto" w:fill="BFBFBF"/>
            <w:vAlign w:val="center"/>
          </w:tcPr>
          <w:p>
            <w:pPr>
              <w:widowControl/>
              <w:spacing w:line="240" w:lineRule="auto"/>
              <w:ind w:firstLine="0" w:firstLineChars="0"/>
              <w:jc w:val="center"/>
              <w:rPr>
                <w:kern w:val="0"/>
                <w:sz w:val="18"/>
                <w:szCs w:val="18"/>
              </w:rPr>
            </w:pPr>
          </w:p>
        </w:tc>
        <w:tc>
          <w:tcPr>
            <w:tcW w:w="499" w:type="pct"/>
            <w:vMerge w:val="continue"/>
            <w:shd w:val="clear" w:color="auto" w:fill="BFBFBF"/>
            <w:vAlign w:val="center"/>
          </w:tcPr>
          <w:p>
            <w:pPr>
              <w:widowControl/>
              <w:spacing w:line="240" w:lineRule="auto"/>
              <w:ind w:firstLine="0" w:firstLineChars="0"/>
              <w:jc w:val="center"/>
              <w:rPr>
                <w:kern w:val="0"/>
                <w:sz w:val="18"/>
                <w:szCs w:val="18"/>
              </w:rPr>
            </w:pPr>
          </w:p>
        </w:tc>
        <w:tc>
          <w:tcPr>
            <w:tcW w:w="376"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台数</w:t>
            </w:r>
          </w:p>
        </w:tc>
        <w:tc>
          <w:tcPr>
            <w:tcW w:w="313" w:type="pct"/>
            <w:shd w:val="clear" w:color="auto" w:fill="auto"/>
            <w:vAlign w:val="center"/>
          </w:tcPr>
          <w:p>
            <w:pPr>
              <w:widowControl/>
              <w:spacing w:line="240" w:lineRule="auto"/>
              <w:ind w:firstLine="0" w:firstLineChars="0"/>
              <w:jc w:val="center"/>
              <w:rPr>
                <w:kern w:val="0"/>
                <w:sz w:val="18"/>
                <w:szCs w:val="18"/>
              </w:rPr>
            </w:pPr>
            <w:r>
              <w:rPr>
                <w:kern w:val="0"/>
                <w:sz w:val="18"/>
                <w:szCs w:val="18"/>
              </w:rPr>
              <w:t>kW</w:t>
            </w:r>
          </w:p>
        </w:tc>
        <w:tc>
          <w:tcPr>
            <w:tcW w:w="382" w:type="pct"/>
            <w:gridSpan w:val="2"/>
            <w:vMerge w:val="continue"/>
            <w:shd w:val="clear" w:color="auto" w:fill="BFBFBF"/>
            <w:vAlign w:val="center"/>
          </w:tcPr>
          <w:p>
            <w:pPr>
              <w:widowControl/>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6"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赵保湖排涝泵站</w:t>
            </w:r>
          </w:p>
        </w:tc>
        <w:tc>
          <w:tcPr>
            <w:tcW w:w="733"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金湖街办五里堤社区</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赵保湖民垸</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1</w:t>
            </w:r>
            <w:r>
              <w:rPr>
                <w:kern w:val="0"/>
                <w:sz w:val="18"/>
                <w:szCs w:val="18"/>
              </w:rPr>
              <w:t>.95</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1</w:t>
            </w:r>
            <w:r>
              <w:rPr>
                <w:kern w:val="0"/>
                <w:sz w:val="18"/>
                <w:szCs w:val="18"/>
              </w:rPr>
              <w:t>3.5</w:t>
            </w:r>
          </w:p>
        </w:tc>
        <w:tc>
          <w:tcPr>
            <w:tcW w:w="527" w:type="pct"/>
            <w:vAlign w:val="center"/>
          </w:tcPr>
          <w:p>
            <w:pPr>
              <w:widowControl/>
              <w:spacing w:line="240" w:lineRule="auto"/>
              <w:ind w:firstLine="0" w:firstLineChars="0"/>
              <w:jc w:val="center"/>
              <w:rPr>
                <w:kern w:val="0"/>
                <w:sz w:val="18"/>
                <w:szCs w:val="18"/>
              </w:rPr>
            </w:pPr>
            <w:r>
              <w:rPr>
                <w:rFonts w:hint="eastAsia"/>
                <w:kern w:val="0"/>
                <w:sz w:val="18"/>
                <w:szCs w:val="18"/>
              </w:rPr>
              <w:t>3</w:t>
            </w:r>
          </w:p>
        </w:tc>
        <w:tc>
          <w:tcPr>
            <w:tcW w:w="499" w:type="pct"/>
            <w:vAlign w:val="center"/>
          </w:tcPr>
          <w:p>
            <w:pPr>
              <w:widowControl/>
              <w:spacing w:line="240" w:lineRule="auto"/>
              <w:ind w:firstLine="0" w:firstLineChars="0"/>
              <w:jc w:val="center"/>
              <w:rPr>
                <w:kern w:val="0"/>
                <w:sz w:val="18"/>
                <w:szCs w:val="18"/>
              </w:rPr>
            </w:pPr>
            <w:r>
              <w:rPr>
                <w:rFonts w:hint="eastAsia"/>
                <w:kern w:val="0"/>
                <w:sz w:val="18"/>
                <w:szCs w:val="18"/>
              </w:rPr>
              <w:t>3</w:t>
            </w:r>
            <w:r>
              <w:rPr>
                <w:kern w:val="0"/>
                <w:sz w:val="18"/>
                <w:szCs w:val="18"/>
              </w:rPr>
              <w:t>.79</w:t>
            </w:r>
          </w:p>
        </w:tc>
        <w:tc>
          <w:tcPr>
            <w:tcW w:w="376" w:type="pct"/>
            <w:vAlign w:val="center"/>
          </w:tcPr>
          <w:p>
            <w:pPr>
              <w:widowControl/>
              <w:spacing w:line="240" w:lineRule="auto"/>
              <w:ind w:firstLine="0" w:firstLineChars="0"/>
              <w:jc w:val="center"/>
              <w:rPr>
                <w:kern w:val="0"/>
                <w:sz w:val="18"/>
                <w:szCs w:val="18"/>
              </w:rPr>
            </w:pPr>
            <w:r>
              <w:rPr>
                <w:rFonts w:hint="eastAsia"/>
                <w:kern w:val="0"/>
                <w:sz w:val="18"/>
                <w:szCs w:val="18"/>
              </w:rPr>
              <w:t>3</w:t>
            </w:r>
          </w:p>
        </w:tc>
        <w:tc>
          <w:tcPr>
            <w:tcW w:w="313" w:type="pct"/>
            <w:vAlign w:val="center"/>
          </w:tcPr>
          <w:p>
            <w:pPr>
              <w:widowControl/>
              <w:spacing w:line="240" w:lineRule="auto"/>
              <w:ind w:firstLine="0" w:firstLineChars="0"/>
              <w:jc w:val="center"/>
              <w:rPr>
                <w:kern w:val="0"/>
                <w:sz w:val="18"/>
                <w:szCs w:val="18"/>
              </w:rPr>
            </w:pPr>
            <w:r>
              <w:rPr>
                <w:rFonts w:hint="eastAsia"/>
                <w:kern w:val="0"/>
                <w:sz w:val="18"/>
                <w:szCs w:val="18"/>
              </w:rPr>
              <w:t>2</w:t>
            </w:r>
            <w:r>
              <w:rPr>
                <w:kern w:val="0"/>
                <w:sz w:val="18"/>
                <w:szCs w:val="18"/>
              </w:rPr>
              <w:t>40</w:t>
            </w:r>
          </w:p>
        </w:tc>
        <w:tc>
          <w:tcPr>
            <w:tcW w:w="382" w:type="pct"/>
            <w:gridSpan w:val="2"/>
            <w:vAlign w:val="center"/>
          </w:tcPr>
          <w:p>
            <w:pPr>
              <w:widowControl/>
              <w:spacing w:line="240" w:lineRule="auto"/>
              <w:ind w:firstLine="0" w:firstLineChars="0"/>
              <w:jc w:val="center"/>
              <w:rPr>
                <w:kern w:val="0"/>
                <w:sz w:val="18"/>
                <w:szCs w:val="18"/>
              </w:rPr>
            </w:pPr>
            <w:r>
              <w:rPr>
                <w:rFonts w:hint="eastAsia"/>
                <w:kern w:val="0"/>
                <w:sz w:val="18"/>
                <w:szCs w:val="18"/>
              </w:rPr>
              <w:t>2</w:t>
            </w:r>
            <w:r>
              <w:rPr>
                <w:kern w:val="0"/>
                <w:sz w:val="18"/>
                <w:szCs w:val="18"/>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6"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熊家洲泵站</w:t>
            </w:r>
          </w:p>
        </w:tc>
        <w:tc>
          <w:tcPr>
            <w:tcW w:w="733"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大箕铺镇顶坜垴村</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熊家洲民垸</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6</w:t>
            </w:r>
            <w:r>
              <w:rPr>
                <w:kern w:val="0"/>
                <w:sz w:val="18"/>
                <w:szCs w:val="18"/>
              </w:rPr>
              <w:t>.57</w:t>
            </w:r>
          </w:p>
        </w:tc>
        <w:tc>
          <w:tcPr>
            <w:tcW w:w="528" w:type="pct"/>
            <w:shd w:val="clear" w:color="auto" w:fill="auto"/>
            <w:vAlign w:val="center"/>
          </w:tcPr>
          <w:p>
            <w:pPr>
              <w:widowControl/>
              <w:spacing w:line="240" w:lineRule="auto"/>
              <w:ind w:firstLine="0" w:firstLineChars="0"/>
              <w:jc w:val="center"/>
              <w:rPr>
                <w:kern w:val="0"/>
                <w:sz w:val="18"/>
                <w:szCs w:val="18"/>
              </w:rPr>
            </w:pPr>
            <w:r>
              <w:rPr>
                <w:kern w:val="0"/>
                <w:sz w:val="18"/>
                <w:szCs w:val="18"/>
              </w:rPr>
              <w:t>14.3</w:t>
            </w:r>
          </w:p>
        </w:tc>
        <w:tc>
          <w:tcPr>
            <w:tcW w:w="527" w:type="pct"/>
            <w:vAlign w:val="center"/>
          </w:tcPr>
          <w:p>
            <w:pPr>
              <w:widowControl/>
              <w:spacing w:line="240" w:lineRule="auto"/>
              <w:ind w:firstLine="0" w:firstLineChars="0"/>
              <w:jc w:val="center"/>
              <w:rPr>
                <w:kern w:val="0"/>
                <w:sz w:val="18"/>
                <w:szCs w:val="18"/>
              </w:rPr>
            </w:pPr>
            <w:r>
              <w:rPr>
                <w:rFonts w:hint="eastAsia"/>
                <w:kern w:val="0"/>
                <w:sz w:val="18"/>
                <w:szCs w:val="18"/>
              </w:rPr>
              <w:t>6</w:t>
            </w:r>
          </w:p>
        </w:tc>
        <w:tc>
          <w:tcPr>
            <w:tcW w:w="499" w:type="pct"/>
            <w:vAlign w:val="center"/>
          </w:tcPr>
          <w:p>
            <w:pPr>
              <w:widowControl/>
              <w:spacing w:line="240" w:lineRule="auto"/>
              <w:ind w:firstLine="0" w:firstLineChars="0"/>
              <w:jc w:val="center"/>
              <w:rPr>
                <w:kern w:val="0"/>
                <w:sz w:val="18"/>
                <w:szCs w:val="18"/>
              </w:rPr>
            </w:pPr>
            <w:r>
              <w:rPr>
                <w:rFonts w:hint="eastAsia"/>
                <w:kern w:val="0"/>
                <w:sz w:val="18"/>
                <w:szCs w:val="18"/>
              </w:rPr>
              <w:t>5</w:t>
            </w:r>
            <w:r>
              <w:rPr>
                <w:kern w:val="0"/>
                <w:sz w:val="18"/>
                <w:szCs w:val="18"/>
              </w:rPr>
              <w:t>.09</w:t>
            </w:r>
          </w:p>
        </w:tc>
        <w:tc>
          <w:tcPr>
            <w:tcW w:w="376" w:type="pct"/>
            <w:vAlign w:val="center"/>
          </w:tcPr>
          <w:p>
            <w:pPr>
              <w:widowControl/>
              <w:spacing w:line="240" w:lineRule="auto"/>
              <w:ind w:firstLine="0" w:firstLineChars="0"/>
              <w:jc w:val="center"/>
              <w:rPr>
                <w:kern w:val="0"/>
                <w:sz w:val="18"/>
                <w:szCs w:val="18"/>
              </w:rPr>
            </w:pPr>
            <w:r>
              <w:rPr>
                <w:rFonts w:hint="eastAsia"/>
                <w:kern w:val="0"/>
                <w:sz w:val="18"/>
                <w:szCs w:val="18"/>
              </w:rPr>
              <w:t>4</w:t>
            </w:r>
          </w:p>
        </w:tc>
        <w:tc>
          <w:tcPr>
            <w:tcW w:w="313" w:type="pct"/>
            <w:vAlign w:val="center"/>
          </w:tcPr>
          <w:p>
            <w:pPr>
              <w:widowControl/>
              <w:spacing w:line="240" w:lineRule="auto"/>
              <w:ind w:firstLine="0" w:firstLineChars="0"/>
              <w:jc w:val="center"/>
              <w:rPr>
                <w:kern w:val="0"/>
                <w:sz w:val="18"/>
                <w:szCs w:val="18"/>
              </w:rPr>
            </w:pPr>
            <w:r>
              <w:rPr>
                <w:rFonts w:hint="eastAsia"/>
                <w:kern w:val="0"/>
                <w:sz w:val="18"/>
                <w:szCs w:val="18"/>
              </w:rPr>
              <w:t>6</w:t>
            </w:r>
            <w:r>
              <w:rPr>
                <w:kern w:val="0"/>
                <w:sz w:val="18"/>
                <w:szCs w:val="18"/>
              </w:rPr>
              <w:t>20</w:t>
            </w:r>
          </w:p>
        </w:tc>
        <w:tc>
          <w:tcPr>
            <w:tcW w:w="382" w:type="pct"/>
            <w:gridSpan w:val="2"/>
            <w:vAlign w:val="center"/>
          </w:tcPr>
          <w:p>
            <w:pPr>
              <w:widowControl/>
              <w:spacing w:line="240" w:lineRule="auto"/>
              <w:ind w:firstLine="0" w:firstLineChars="0"/>
              <w:jc w:val="center"/>
              <w:rPr>
                <w:kern w:val="0"/>
                <w:sz w:val="18"/>
                <w:szCs w:val="18"/>
              </w:rPr>
            </w:pPr>
            <w:r>
              <w:rPr>
                <w:rFonts w:hint="eastAsia"/>
                <w:kern w:val="0"/>
                <w:sz w:val="18"/>
                <w:szCs w:val="18"/>
              </w:rPr>
              <w:t>2</w:t>
            </w:r>
            <w:r>
              <w:rPr>
                <w:kern w:val="0"/>
                <w:sz w:val="18"/>
                <w:szCs w:val="18"/>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6"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三里七排涝站</w:t>
            </w:r>
          </w:p>
        </w:tc>
        <w:tc>
          <w:tcPr>
            <w:tcW w:w="733"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罗家桥街办大林山村</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三里七民垸</w:t>
            </w:r>
          </w:p>
        </w:tc>
        <w:tc>
          <w:tcPr>
            <w:tcW w:w="528" w:type="pct"/>
            <w:shd w:val="clear" w:color="auto" w:fill="auto"/>
            <w:vAlign w:val="center"/>
          </w:tcPr>
          <w:p>
            <w:pPr>
              <w:widowControl/>
              <w:spacing w:line="240" w:lineRule="auto"/>
              <w:ind w:firstLine="0" w:firstLineChars="0"/>
              <w:jc w:val="center"/>
              <w:rPr>
                <w:kern w:val="0"/>
                <w:sz w:val="18"/>
                <w:szCs w:val="18"/>
              </w:rPr>
            </w:pPr>
            <w:r>
              <w:rPr>
                <w:kern w:val="0"/>
                <w:sz w:val="18"/>
                <w:szCs w:val="18"/>
              </w:rPr>
              <w:t>7.71</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1</w:t>
            </w:r>
            <w:r>
              <w:rPr>
                <w:kern w:val="0"/>
                <w:sz w:val="18"/>
                <w:szCs w:val="18"/>
              </w:rPr>
              <w:t>6.5</w:t>
            </w:r>
          </w:p>
        </w:tc>
        <w:tc>
          <w:tcPr>
            <w:tcW w:w="527" w:type="pct"/>
            <w:vAlign w:val="center"/>
          </w:tcPr>
          <w:p>
            <w:pPr>
              <w:widowControl/>
              <w:spacing w:line="240" w:lineRule="auto"/>
              <w:ind w:firstLine="0" w:firstLineChars="0"/>
              <w:jc w:val="center"/>
              <w:rPr>
                <w:kern w:val="0"/>
                <w:sz w:val="18"/>
                <w:szCs w:val="18"/>
              </w:rPr>
            </w:pPr>
            <w:r>
              <w:rPr>
                <w:rFonts w:hint="eastAsia"/>
                <w:kern w:val="0"/>
                <w:sz w:val="18"/>
                <w:szCs w:val="18"/>
              </w:rPr>
              <w:t>6</w:t>
            </w:r>
            <w:r>
              <w:rPr>
                <w:kern w:val="0"/>
                <w:sz w:val="18"/>
                <w:szCs w:val="18"/>
              </w:rPr>
              <w:t>.5</w:t>
            </w:r>
          </w:p>
        </w:tc>
        <w:tc>
          <w:tcPr>
            <w:tcW w:w="499" w:type="pct"/>
            <w:vAlign w:val="center"/>
          </w:tcPr>
          <w:p>
            <w:pPr>
              <w:widowControl/>
              <w:spacing w:line="240" w:lineRule="auto"/>
              <w:ind w:firstLine="0" w:firstLineChars="0"/>
              <w:jc w:val="center"/>
              <w:rPr>
                <w:kern w:val="0"/>
                <w:sz w:val="18"/>
                <w:szCs w:val="18"/>
              </w:rPr>
            </w:pPr>
            <w:r>
              <w:rPr>
                <w:rFonts w:hint="eastAsia"/>
                <w:kern w:val="0"/>
                <w:sz w:val="18"/>
                <w:szCs w:val="18"/>
              </w:rPr>
              <w:t>4</w:t>
            </w:r>
            <w:r>
              <w:rPr>
                <w:kern w:val="0"/>
                <w:sz w:val="18"/>
                <w:szCs w:val="18"/>
              </w:rPr>
              <w:t>.64</w:t>
            </w:r>
          </w:p>
        </w:tc>
        <w:tc>
          <w:tcPr>
            <w:tcW w:w="376" w:type="pct"/>
            <w:vAlign w:val="center"/>
          </w:tcPr>
          <w:p>
            <w:pPr>
              <w:widowControl/>
              <w:spacing w:line="240" w:lineRule="auto"/>
              <w:ind w:firstLine="0" w:firstLineChars="0"/>
              <w:jc w:val="center"/>
              <w:rPr>
                <w:kern w:val="0"/>
                <w:sz w:val="18"/>
                <w:szCs w:val="18"/>
              </w:rPr>
            </w:pPr>
            <w:r>
              <w:rPr>
                <w:rFonts w:hint="eastAsia"/>
                <w:kern w:val="0"/>
                <w:sz w:val="18"/>
                <w:szCs w:val="18"/>
              </w:rPr>
              <w:t>4</w:t>
            </w:r>
          </w:p>
        </w:tc>
        <w:tc>
          <w:tcPr>
            <w:tcW w:w="313" w:type="pct"/>
            <w:vAlign w:val="center"/>
          </w:tcPr>
          <w:p>
            <w:pPr>
              <w:widowControl/>
              <w:spacing w:line="240" w:lineRule="auto"/>
              <w:ind w:firstLine="0" w:firstLineChars="0"/>
              <w:jc w:val="center"/>
              <w:rPr>
                <w:kern w:val="0"/>
                <w:sz w:val="18"/>
                <w:szCs w:val="18"/>
              </w:rPr>
            </w:pPr>
            <w:r>
              <w:rPr>
                <w:rFonts w:hint="eastAsia"/>
                <w:kern w:val="0"/>
                <w:sz w:val="18"/>
                <w:szCs w:val="18"/>
              </w:rPr>
              <w:t>5</w:t>
            </w:r>
            <w:r>
              <w:rPr>
                <w:kern w:val="0"/>
                <w:sz w:val="18"/>
                <w:szCs w:val="18"/>
              </w:rPr>
              <w:t>28</w:t>
            </w:r>
          </w:p>
        </w:tc>
        <w:tc>
          <w:tcPr>
            <w:tcW w:w="382" w:type="pct"/>
            <w:gridSpan w:val="2"/>
            <w:vAlign w:val="center"/>
          </w:tcPr>
          <w:p>
            <w:pPr>
              <w:widowControl/>
              <w:spacing w:line="240" w:lineRule="auto"/>
              <w:ind w:firstLine="0" w:firstLineChars="0"/>
              <w:jc w:val="center"/>
              <w:rPr>
                <w:kern w:val="0"/>
                <w:sz w:val="18"/>
                <w:szCs w:val="18"/>
              </w:rPr>
            </w:pPr>
            <w:r>
              <w:rPr>
                <w:rFonts w:hint="eastAsia"/>
                <w:kern w:val="0"/>
                <w:sz w:val="18"/>
                <w:szCs w:val="18"/>
              </w:rPr>
              <w:t>2</w:t>
            </w:r>
            <w:r>
              <w:rPr>
                <w:kern w:val="0"/>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680" w:hRule="atLeast"/>
          <w:jc w:val="center"/>
        </w:trPr>
        <w:tc>
          <w:tcPr>
            <w:tcW w:w="586"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鸡冠嘴排涝站</w:t>
            </w:r>
          </w:p>
        </w:tc>
        <w:tc>
          <w:tcPr>
            <w:tcW w:w="733"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金湖街办株林村</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桃花民垸</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8</w:t>
            </w:r>
            <w:r>
              <w:rPr>
                <w:kern w:val="0"/>
                <w:sz w:val="18"/>
                <w:szCs w:val="18"/>
              </w:rPr>
              <w:t>.70</w:t>
            </w:r>
          </w:p>
        </w:tc>
        <w:tc>
          <w:tcPr>
            <w:tcW w:w="528" w:type="pct"/>
            <w:shd w:val="clear" w:color="auto" w:fill="auto"/>
            <w:vAlign w:val="center"/>
          </w:tcPr>
          <w:p>
            <w:pPr>
              <w:widowControl/>
              <w:spacing w:line="240" w:lineRule="auto"/>
              <w:ind w:firstLine="0" w:firstLineChars="0"/>
              <w:jc w:val="center"/>
              <w:rPr>
                <w:kern w:val="0"/>
                <w:sz w:val="18"/>
                <w:szCs w:val="18"/>
              </w:rPr>
            </w:pPr>
            <w:r>
              <w:rPr>
                <w:kern w:val="0"/>
                <w:sz w:val="18"/>
                <w:szCs w:val="18"/>
              </w:rPr>
              <w:t>14.0</w:t>
            </w:r>
          </w:p>
        </w:tc>
        <w:tc>
          <w:tcPr>
            <w:tcW w:w="527" w:type="pct"/>
            <w:vAlign w:val="center"/>
          </w:tcPr>
          <w:p>
            <w:pPr>
              <w:widowControl/>
              <w:spacing w:line="240" w:lineRule="auto"/>
              <w:ind w:firstLine="0" w:firstLineChars="0"/>
              <w:jc w:val="center"/>
              <w:rPr>
                <w:kern w:val="0"/>
                <w:sz w:val="18"/>
                <w:szCs w:val="18"/>
              </w:rPr>
            </w:pPr>
            <w:r>
              <w:rPr>
                <w:rFonts w:hint="eastAsia"/>
                <w:kern w:val="0"/>
                <w:sz w:val="18"/>
                <w:szCs w:val="18"/>
              </w:rPr>
              <w:t>6</w:t>
            </w:r>
            <w:r>
              <w:rPr>
                <w:kern w:val="0"/>
                <w:sz w:val="18"/>
                <w:szCs w:val="18"/>
              </w:rPr>
              <w:t>.2</w:t>
            </w:r>
          </w:p>
        </w:tc>
        <w:tc>
          <w:tcPr>
            <w:tcW w:w="499" w:type="pct"/>
            <w:vAlign w:val="center"/>
          </w:tcPr>
          <w:p>
            <w:pPr>
              <w:widowControl/>
              <w:spacing w:line="240" w:lineRule="auto"/>
              <w:ind w:firstLine="0" w:firstLineChars="0"/>
              <w:jc w:val="center"/>
              <w:rPr>
                <w:kern w:val="0"/>
                <w:sz w:val="18"/>
                <w:szCs w:val="18"/>
              </w:rPr>
            </w:pPr>
            <w:r>
              <w:rPr>
                <w:rFonts w:hint="eastAsia"/>
                <w:kern w:val="0"/>
                <w:sz w:val="18"/>
                <w:szCs w:val="18"/>
              </w:rPr>
              <w:t>7</w:t>
            </w:r>
            <w:r>
              <w:rPr>
                <w:kern w:val="0"/>
                <w:sz w:val="18"/>
                <w:szCs w:val="18"/>
              </w:rPr>
              <w:t>.3</w:t>
            </w:r>
          </w:p>
        </w:tc>
        <w:tc>
          <w:tcPr>
            <w:tcW w:w="376" w:type="pct"/>
            <w:vAlign w:val="center"/>
          </w:tcPr>
          <w:p>
            <w:pPr>
              <w:widowControl/>
              <w:spacing w:line="240" w:lineRule="auto"/>
              <w:ind w:firstLine="0" w:firstLineChars="0"/>
              <w:jc w:val="center"/>
              <w:rPr>
                <w:kern w:val="0"/>
                <w:sz w:val="18"/>
                <w:szCs w:val="18"/>
              </w:rPr>
            </w:pPr>
            <w:r>
              <w:rPr>
                <w:rFonts w:hint="eastAsia"/>
                <w:kern w:val="0"/>
                <w:sz w:val="18"/>
                <w:szCs w:val="18"/>
              </w:rPr>
              <w:t>4</w:t>
            </w:r>
          </w:p>
        </w:tc>
        <w:tc>
          <w:tcPr>
            <w:tcW w:w="313" w:type="pct"/>
            <w:vAlign w:val="center"/>
          </w:tcPr>
          <w:p>
            <w:pPr>
              <w:widowControl/>
              <w:spacing w:line="240" w:lineRule="auto"/>
              <w:ind w:firstLine="0" w:firstLineChars="0"/>
              <w:jc w:val="center"/>
              <w:rPr>
                <w:kern w:val="0"/>
                <w:sz w:val="18"/>
                <w:szCs w:val="18"/>
              </w:rPr>
            </w:pPr>
            <w:r>
              <w:rPr>
                <w:rFonts w:hint="eastAsia"/>
                <w:kern w:val="0"/>
                <w:sz w:val="18"/>
                <w:szCs w:val="18"/>
              </w:rPr>
              <w:t>5</w:t>
            </w:r>
            <w:r>
              <w:rPr>
                <w:kern w:val="0"/>
                <w:sz w:val="18"/>
                <w:szCs w:val="18"/>
              </w:rPr>
              <w:t>20</w:t>
            </w:r>
          </w:p>
        </w:tc>
        <w:tc>
          <w:tcPr>
            <w:tcW w:w="373" w:type="pct"/>
            <w:vAlign w:val="center"/>
          </w:tcPr>
          <w:p>
            <w:pPr>
              <w:widowControl/>
              <w:spacing w:line="240" w:lineRule="auto"/>
              <w:ind w:firstLine="0" w:firstLineChars="0"/>
              <w:jc w:val="center"/>
              <w:rPr>
                <w:kern w:val="0"/>
                <w:sz w:val="18"/>
                <w:szCs w:val="18"/>
              </w:rPr>
            </w:pPr>
            <w:r>
              <w:rPr>
                <w:rFonts w:hint="eastAsia"/>
                <w:kern w:val="0"/>
                <w:sz w:val="18"/>
                <w:szCs w:val="18"/>
              </w:rPr>
              <w:t>2</w:t>
            </w:r>
            <w:r>
              <w:rPr>
                <w:kern w:val="0"/>
                <w:sz w:val="18"/>
                <w:szCs w:val="18"/>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680" w:hRule="atLeast"/>
          <w:jc w:val="center"/>
        </w:trPr>
        <w:tc>
          <w:tcPr>
            <w:tcW w:w="586"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青龙泵站</w:t>
            </w:r>
          </w:p>
        </w:tc>
        <w:tc>
          <w:tcPr>
            <w:tcW w:w="733"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东岳街办和平社区</w:t>
            </w:r>
          </w:p>
        </w:tc>
        <w:tc>
          <w:tcPr>
            <w:tcW w:w="528" w:type="pct"/>
            <w:shd w:val="clear" w:color="auto" w:fill="auto"/>
            <w:vAlign w:val="center"/>
          </w:tcPr>
          <w:p>
            <w:pPr>
              <w:widowControl/>
              <w:spacing w:line="240" w:lineRule="auto"/>
              <w:ind w:firstLine="0" w:firstLineChars="0"/>
              <w:jc w:val="center"/>
              <w:rPr>
                <w:kern w:val="0"/>
                <w:sz w:val="18"/>
                <w:szCs w:val="18"/>
              </w:rPr>
            </w:pPr>
          </w:p>
        </w:tc>
        <w:tc>
          <w:tcPr>
            <w:tcW w:w="528" w:type="pct"/>
            <w:shd w:val="clear" w:color="auto" w:fill="auto"/>
            <w:vAlign w:val="center"/>
          </w:tcPr>
          <w:p>
            <w:pPr>
              <w:widowControl/>
              <w:spacing w:line="240" w:lineRule="auto"/>
              <w:ind w:firstLine="0" w:firstLineChars="0"/>
              <w:jc w:val="center"/>
              <w:rPr>
                <w:kern w:val="0"/>
                <w:sz w:val="18"/>
                <w:szCs w:val="18"/>
              </w:rPr>
            </w:pPr>
            <w:r>
              <w:rPr>
                <w:kern w:val="0"/>
                <w:sz w:val="18"/>
                <w:szCs w:val="18"/>
              </w:rPr>
              <w:t>4.10</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1</w:t>
            </w:r>
            <w:r>
              <w:rPr>
                <w:kern w:val="0"/>
                <w:sz w:val="18"/>
                <w:szCs w:val="18"/>
              </w:rPr>
              <w:t>6.5</w:t>
            </w:r>
          </w:p>
        </w:tc>
        <w:tc>
          <w:tcPr>
            <w:tcW w:w="527" w:type="pct"/>
            <w:vAlign w:val="center"/>
          </w:tcPr>
          <w:p>
            <w:pPr>
              <w:widowControl/>
              <w:spacing w:line="240" w:lineRule="auto"/>
              <w:ind w:firstLine="0" w:firstLineChars="0"/>
              <w:jc w:val="center"/>
              <w:rPr>
                <w:kern w:val="0"/>
                <w:sz w:val="18"/>
                <w:szCs w:val="18"/>
              </w:rPr>
            </w:pPr>
            <w:r>
              <w:rPr>
                <w:rFonts w:hint="eastAsia"/>
                <w:kern w:val="0"/>
                <w:sz w:val="18"/>
                <w:szCs w:val="18"/>
              </w:rPr>
              <w:t>4</w:t>
            </w:r>
            <w:r>
              <w:rPr>
                <w:kern w:val="0"/>
                <w:sz w:val="18"/>
                <w:szCs w:val="18"/>
              </w:rPr>
              <w:t>.8</w:t>
            </w:r>
          </w:p>
        </w:tc>
        <w:tc>
          <w:tcPr>
            <w:tcW w:w="499" w:type="pct"/>
            <w:vAlign w:val="center"/>
          </w:tcPr>
          <w:p>
            <w:pPr>
              <w:widowControl/>
              <w:spacing w:line="240" w:lineRule="auto"/>
              <w:ind w:firstLine="0" w:firstLineChars="0"/>
              <w:jc w:val="center"/>
              <w:rPr>
                <w:kern w:val="0"/>
                <w:sz w:val="18"/>
                <w:szCs w:val="18"/>
              </w:rPr>
            </w:pPr>
            <w:r>
              <w:rPr>
                <w:rFonts w:hint="eastAsia"/>
                <w:kern w:val="0"/>
                <w:sz w:val="18"/>
                <w:szCs w:val="18"/>
              </w:rPr>
              <w:t>4</w:t>
            </w:r>
          </w:p>
        </w:tc>
        <w:tc>
          <w:tcPr>
            <w:tcW w:w="376" w:type="pct"/>
            <w:vAlign w:val="center"/>
          </w:tcPr>
          <w:p>
            <w:pPr>
              <w:widowControl/>
              <w:spacing w:line="240" w:lineRule="auto"/>
              <w:ind w:firstLine="0" w:firstLineChars="0"/>
              <w:jc w:val="center"/>
              <w:rPr>
                <w:kern w:val="0"/>
                <w:sz w:val="18"/>
                <w:szCs w:val="18"/>
              </w:rPr>
            </w:pPr>
            <w:r>
              <w:rPr>
                <w:rFonts w:hint="eastAsia"/>
                <w:kern w:val="0"/>
                <w:sz w:val="18"/>
                <w:szCs w:val="18"/>
              </w:rPr>
              <w:t>2</w:t>
            </w:r>
          </w:p>
        </w:tc>
        <w:tc>
          <w:tcPr>
            <w:tcW w:w="313" w:type="pct"/>
            <w:vAlign w:val="center"/>
          </w:tcPr>
          <w:p>
            <w:pPr>
              <w:widowControl/>
              <w:spacing w:line="240" w:lineRule="auto"/>
              <w:ind w:firstLine="0" w:firstLineChars="0"/>
              <w:jc w:val="center"/>
              <w:rPr>
                <w:kern w:val="0"/>
                <w:sz w:val="18"/>
                <w:szCs w:val="18"/>
              </w:rPr>
            </w:pPr>
            <w:r>
              <w:rPr>
                <w:rFonts w:hint="eastAsia"/>
                <w:kern w:val="0"/>
                <w:sz w:val="18"/>
                <w:szCs w:val="18"/>
              </w:rPr>
              <w:t>3</w:t>
            </w:r>
            <w:r>
              <w:rPr>
                <w:kern w:val="0"/>
                <w:sz w:val="18"/>
                <w:szCs w:val="18"/>
              </w:rPr>
              <w:t>70</w:t>
            </w:r>
          </w:p>
        </w:tc>
        <w:tc>
          <w:tcPr>
            <w:tcW w:w="373" w:type="pct"/>
            <w:vAlign w:val="center"/>
          </w:tcPr>
          <w:p>
            <w:pPr>
              <w:widowControl/>
              <w:spacing w:line="240" w:lineRule="auto"/>
              <w:ind w:firstLine="0" w:firstLineChars="0"/>
              <w:jc w:val="center"/>
              <w:rPr>
                <w:kern w:val="0"/>
                <w:sz w:val="18"/>
                <w:szCs w:val="18"/>
              </w:rPr>
            </w:pPr>
            <w:r>
              <w:rPr>
                <w:rFonts w:hint="eastAsia"/>
                <w:kern w:val="0"/>
                <w:sz w:val="18"/>
                <w:szCs w:val="18"/>
              </w:rPr>
              <w:t>2</w:t>
            </w:r>
            <w:r>
              <w:rPr>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680" w:hRule="atLeast"/>
          <w:jc w:val="center"/>
        </w:trPr>
        <w:tc>
          <w:tcPr>
            <w:tcW w:w="586"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尹家湖闸站</w:t>
            </w:r>
          </w:p>
        </w:tc>
        <w:tc>
          <w:tcPr>
            <w:tcW w:w="733"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东风东路延伸段</w:t>
            </w:r>
          </w:p>
        </w:tc>
        <w:tc>
          <w:tcPr>
            <w:tcW w:w="528" w:type="pct"/>
            <w:shd w:val="clear" w:color="auto" w:fill="auto"/>
            <w:vAlign w:val="center"/>
          </w:tcPr>
          <w:p>
            <w:pPr>
              <w:widowControl/>
              <w:spacing w:line="240" w:lineRule="auto"/>
              <w:ind w:firstLine="0" w:firstLineChars="0"/>
              <w:jc w:val="center"/>
              <w:rPr>
                <w:kern w:val="0"/>
                <w:sz w:val="18"/>
                <w:szCs w:val="18"/>
              </w:rPr>
            </w:pP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9</w:t>
            </w:r>
            <w:r>
              <w:rPr>
                <w:kern w:val="0"/>
                <w:sz w:val="18"/>
                <w:szCs w:val="18"/>
              </w:rPr>
              <w:t>.45</w:t>
            </w:r>
          </w:p>
        </w:tc>
        <w:tc>
          <w:tcPr>
            <w:tcW w:w="528" w:type="pct"/>
            <w:shd w:val="clear" w:color="auto" w:fill="auto"/>
            <w:vAlign w:val="center"/>
          </w:tcPr>
          <w:p>
            <w:pPr>
              <w:widowControl/>
              <w:spacing w:line="240" w:lineRule="auto"/>
              <w:ind w:firstLine="0" w:firstLineChars="0"/>
              <w:jc w:val="center"/>
              <w:rPr>
                <w:kern w:val="0"/>
                <w:sz w:val="18"/>
                <w:szCs w:val="18"/>
              </w:rPr>
            </w:pPr>
            <w:r>
              <w:rPr>
                <w:kern w:val="0"/>
                <w:sz w:val="18"/>
                <w:szCs w:val="18"/>
              </w:rPr>
              <w:t>16.0</w:t>
            </w:r>
          </w:p>
        </w:tc>
        <w:tc>
          <w:tcPr>
            <w:tcW w:w="527" w:type="pct"/>
            <w:vAlign w:val="center"/>
          </w:tcPr>
          <w:p>
            <w:pPr>
              <w:widowControl/>
              <w:spacing w:line="240" w:lineRule="auto"/>
              <w:ind w:firstLine="0" w:firstLineChars="0"/>
              <w:jc w:val="center"/>
              <w:rPr>
                <w:kern w:val="0"/>
                <w:sz w:val="18"/>
                <w:szCs w:val="18"/>
              </w:rPr>
            </w:pPr>
            <w:r>
              <w:rPr>
                <w:kern w:val="0"/>
                <w:sz w:val="18"/>
                <w:szCs w:val="18"/>
              </w:rPr>
              <w:t>6.7</w:t>
            </w:r>
          </w:p>
        </w:tc>
        <w:tc>
          <w:tcPr>
            <w:tcW w:w="499" w:type="pct"/>
            <w:vAlign w:val="center"/>
          </w:tcPr>
          <w:p>
            <w:pPr>
              <w:widowControl/>
              <w:spacing w:line="240" w:lineRule="auto"/>
              <w:ind w:firstLine="0" w:firstLineChars="0"/>
              <w:jc w:val="center"/>
              <w:rPr>
                <w:kern w:val="0"/>
                <w:sz w:val="18"/>
                <w:szCs w:val="18"/>
              </w:rPr>
            </w:pPr>
            <w:r>
              <w:rPr>
                <w:kern w:val="0"/>
                <w:sz w:val="18"/>
                <w:szCs w:val="18"/>
              </w:rPr>
              <w:t>5.67</w:t>
            </w:r>
          </w:p>
        </w:tc>
        <w:tc>
          <w:tcPr>
            <w:tcW w:w="376" w:type="pct"/>
            <w:vAlign w:val="center"/>
          </w:tcPr>
          <w:p>
            <w:pPr>
              <w:widowControl/>
              <w:spacing w:line="240" w:lineRule="auto"/>
              <w:ind w:firstLine="0" w:firstLineChars="0"/>
              <w:jc w:val="center"/>
              <w:rPr>
                <w:kern w:val="0"/>
                <w:sz w:val="18"/>
                <w:szCs w:val="18"/>
              </w:rPr>
            </w:pPr>
            <w:r>
              <w:rPr>
                <w:rFonts w:hint="eastAsia"/>
                <w:kern w:val="0"/>
                <w:sz w:val="18"/>
                <w:szCs w:val="18"/>
              </w:rPr>
              <w:t>4</w:t>
            </w:r>
          </w:p>
        </w:tc>
        <w:tc>
          <w:tcPr>
            <w:tcW w:w="313" w:type="pct"/>
            <w:vAlign w:val="center"/>
          </w:tcPr>
          <w:p>
            <w:pPr>
              <w:widowControl/>
              <w:spacing w:line="240" w:lineRule="auto"/>
              <w:ind w:firstLine="0" w:firstLineChars="0"/>
              <w:jc w:val="center"/>
              <w:rPr>
                <w:kern w:val="0"/>
                <w:sz w:val="18"/>
                <w:szCs w:val="18"/>
              </w:rPr>
            </w:pPr>
            <w:r>
              <w:rPr>
                <w:kern w:val="0"/>
                <w:sz w:val="18"/>
                <w:szCs w:val="18"/>
              </w:rPr>
              <w:t>528</w:t>
            </w:r>
          </w:p>
        </w:tc>
        <w:tc>
          <w:tcPr>
            <w:tcW w:w="373" w:type="pct"/>
            <w:vAlign w:val="center"/>
          </w:tcPr>
          <w:p>
            <w:pPr>
              <w:widowControl/>
              <w:spacing w:line="240" w:lineRule="auto"/>
              <w:ind w:firstLine="0" w:firstLineChars="0"/>
              <w:jc w:val="center"/>
              <w:rPr>
                <w:kern w:val="0"/>
                <w:sz w:val="18"/>
                <w:szCs w:val="18"/>
              </w:rPr>
            </w:pPr>
            <w:r>
              <w:rPr>
                <w:rFonts w:hint="eastAsia"/>
                <w:kern w:val="0"/>
                <w:sz w:val="18"/>
                <w:szCs w:val="18"/>
              </w:rPr>
              <w:t>2</w:t>
            </w:r>
            <w:r>
              <w:rPr>
                <w:kern w:val="0"/>
                <w:sz w:val="18"/>
                <w:szCs w:val="18"/>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680" w:hRule="atLeast"/>
          <w:jc w:val="center"/>
        </w:trPr>
        <w:tc>
          <w:tcPr>
            <w:tcW w:w="586" w:type="pct"/>
            <w:shd w:val="clear" w:color="auto" w:fill="auto"/>
            <w:vAlign w:val="center"/>
          </w:tcPr>
          <w:p>
            <w:pPr>
              <w:kinsoku w:val="0"/>
              <w:overflowPunct w:val="0"/>
              <w:autoSpaceDE w:val="0"/>
              <w:autoSpaceDN w:val="0"/>
              <w:adjustRightInd w:val="0"/>
              <w:spacing w:line="240" w:lineRule="auto"/>
              <w:ind w:firstLine="0" w:firstLineChars="0"/>
              <w:jc w:val="center"/>
              <w:rPr>
                <w:rFonts w:ascii="宋体" w:cs="宋体"/>
                <w:kern w:val="0"/>
                <w:sz w:val="18"/>
                <w:szCs w:val="18"/>
              </w:rPr>
            </w:pPr>
            <w:r>
              <w:rPr>
                <w:rFonts w:hint="eastAsia" w:ascii="宋体" w:cs="宋体"/>
                <w:kern w:val="0"/>
                <w:sz w:val="18"/>
                <w:szCs w:val="18"/>
              </w:rPr>
              <w:t>青龙</w:t>
            </w:r>
            <w:r>
              <w:rPr>
                <w:rFonts w:hint="eastAsia" w:ascii="宋体" w:cs="宋体"/>
                <w:spacing w:val="-10"/>
                <w:kern w:val="0"/>
                <w:sz w:val="18"/>
                <w:szCs w:val="18"/>
              </w:rPr>
              <w:t>阁排涝</w:t>
            </w:r>
            <w:r>
              <w:rPr>
                <w:rFonts w:hint="eastAsia" w:ascii="宋体" w:cs="宋体"/>
                <w:kern w:val="0"/>
                <w:sz w:val="18"/>
                <w:szCs w:val="18"/>
              </w:rPr>
              <w:t>站</w:t>
            </w:r>
          </w:p>
        </w:tc>
        <w:tc>
          <w:tcPr>
            <w:tcW w:w="733" w:type="pct"/>
            <w:shd w:val="clear" w:color="auto" w:fill="auto"/>
            <w:vAlign w:val="center"/>
          </w:tcPr>
          <w:p>
            <w:pPr>
              <w:kinsoku w:val="0"/>
              <w:overflowPunct w:val="0"/>
              <w:autoSpaceDE w:val="0"/>
              <w:autoSpaceDN w:val="0"/>
              <w:adjustRightInd w:val="0"/>
              <w:spacing w:line="240" w:lineRule="auto"/>
              <w:ind w:firstLine="0" w:firstLineChars="0"/>
              <w:jc w:val="center"/>
              <w:rPr>
                <w:rFonts w:ascii="宋体" w:cs="宋体"/>
                <w:kern w:val="0"/>
                <w:sz w:val="18"/>
                <w:szCs w:val="18"/>
              </w:rPr>
            </w:pPr>
            <w:r>
              <w:rPr>
                <w:rFonts w:hint="eastAsia" w:ascii="宋体" w:cs="宋体"/>
                <w:kern w:val="0"/>
                <w:sz w:val="18"/>
                <w:szCs w:val="18"/>
              </w:rPr>
              <w:t>东岳路街道和平社区</w:t>
            </w:r>
          </w:p>
        </w:tc>
        <w:tc>
          <w:tcPr>
            <w:tcW w:w="528" w:type="pct"/>
            <w:shd w:val="clear" w:color="auto" w:fill="auto"/>
            <w:vAlign w:val="center"/>
          </w:tcPr>
          <w:p>
            <w:pPr>
              <w:widowControl/>
              <w:spacing w:line="240" w:lineRule="auto"/>
              <w:ind w:firstLine="0" w:firstLineChars="0"/>
              <w:jc w:val="center"/>
              <w:rPr>
                <w:kern w:val="0"/>
                <w:sz w:val="18"/>
                <w:szCs w:val="18"/>
              </w:rPr>
            </w:pPr>
            <w:r>
              <w:rPr>
                <w:rFonts w:hint="eastAsia" w:ascii="宋体" w:cs="宋体"/>
                <w:kern w:val="0"/>
                <w:sz w:val="18"/>
                <w:szCs w:val="18"/>
              </w:rPr>
              <w:t>熊家洲民垸</w:t>
            </w:r>
          </w:p>
        </w:tc>
        <w:tc>
          <w:tcPr>
            <w:tcW w:w="528" w:type="pct"/>
            <w:shd w:val="clear" w:color="auto" w:fill="auto"/>
            <w:vAlign w:val="center"/>
          </w:tcPr>
          <w:p>
            <w:pPr>
              <w:kinsoku w:val="0"/>
              <w:overflowPunct w:val="0"/>
              <w:autoSpaceDE w:val="0"/>
              <w:autoSpaceDN w:val="0"/>
              <w:adjustRightInd w:val="0"/>
              <w:spacing w:line="240" w:lineRule="auto"/>
              <w:ind w:firstLine="0" w:firstLineChars="0"/>
              <w:jc w:val="center"/>
              <w:rPr>
                <w:kern w:val="0"/>
                <w:sz w:val="18"/>
                <w:szCs w:val="18"/>
              </w:rPr>
            </w:pPr>
            <w:r>
              <w:rPr>
                <w:kern w:val="0"/>
                <w:sz w:val="18"/>
                <w:szCs w:val="18"/>
              </w:rPr>
              <w:t>2.81</w:t>
            </w:r>
          </w:p>
        </w:tc>
        <w:tc>
          <w:tcPr>
            <w:tcW w:w="528" w:type="pct"/>
            <w:shd w:val="clear" w:color="auto" w:fill="auto"/>
            <w:vAlign w:val="center"/>
          </w:tcPr>
          <w:p>
            <w:pPr>
              <w:kinsoku w:val="0"/>
              <w:overflowPunct w:val="0"/>
              <w:autoSpaceDE w:val="0"/>
              <w:autoSpaceDN w:val="0"/>
              <w:adjustRightInd w:val="0"/>
              <w:spacing w:line="240" w:lineRule="auto"/>
              <w:ind w:firstLine="0" w:firstLineChars="0"/>
              <w:jc w:val="center"/>
              <w:rPr>
                <w:kern w:val="0"/>
                <w:sz w:val="18"/>
                <w:szCs w:val="18"/>
              </w:rPr>
            </w:pPr>
            <w:r>
              <w:rPr>
                <w:kern w:val="0"/>
                <w:sz w:val="18"/>
                <w:szCs w:val="18"/>
              </w:rPr>
              <w:t>13.5</w:t>
            </w:r>
          </w:p>
        </w:tc>
        <w:tc>
          <w:tcPr>
            <w:tcW w:w="527" w:type="pct"/>
            <w:vAlign w:val="center"/>
          </w:tcPr>
          <w:p>
            <w:pPr>
              <w:kinsoku w:val="0"/>
              <w:overflowPunct w:val="0"/>
              <w:autoSpaceDE w:val="0"/>
              <w:autoSpaceDN w:val="0"/>
              <w:adjustRightInd w:val="0"/>
              <w:spacing w:line="240" w:lineRule="auto"/>
              <w:ind w:firstLine="0" w:firstLineChars="0"/>
              <w:jc w:val="center"/>
              <w:rPr>
                <w:kern w:val="0"/>
                <w:sz w:val="18"/>
                <w:szCs w:val="18"/>
              </w:rPr>
            </w:pPr>
            <w:r>
              <w:rPr>
                <w:kern w:val="0"/>
                <w:sz w:val="18"/>
                <w:szCs w:val="18"/>
              </w:rPr>
              <w:t>2.2</w:t>
            </w:r>
          </w:p>
        </w:tc>
        <w:tc>
          <w:tcPr>
            <w:tcW w:w="499" w:type="pct"/>
            <w:vAlign w:val="center"/>
          </w:tcPr>
          <w:p>
            <w:pPr>
              <w:kinsoku w:val="0"/>
              <w:overflowPunct w:val="0"/>
              <w:autoSpaceDE w:val="0"/>
              <w:autoSpaceDN w:val="0"/>
              <w:adjustRightInd w:val="0"/>
              <w:spacing w:line="240" w:lineRule="auto"/>
              <w:ind w:firstLine="0" w:firstLineChars="0"/>
              <w:jc w:val="center"/>
              <w:rPr>
                <w:kern w:val="0"/>
                <w:sz w:val="18"/>
                <w:szCs w:val="18"/>
              </w:rPr>
            </w:pPr>
            <w:r>
              <w:rPr>
                <w:kern w:val="0"/>
                <w:sz w:val="18"/>
                <w:szCs w:val="18"/>
              </w:rPr>
              <w:t>6</w:t>
            </w:r>
          </w:p>
        </w:tc>
        <w:tc>
          <w:tcPr>
            <w:tcW w:w="376" w:type="pct"/>
            <w:vAlign w:val="center"/>
          </w:tcPr>
          <w:p>
            <w:pPr>
              <w:kinsoku w:val="0"/>
              <w:overflowPunct w:val="0"/>
              <w:autoSpaceDE w:val="0"/>
              <w:autoSpaceDN w:val="0"/>
              <w:adjustRightInd w:val="0"/>
              <w:spacing w:line="240" w:lineRule="auto"/>
              <w:ind w:firstLine="0" w:firstLineChars="0"/>
              <w:jc w:val="center"/>
              <w:rPr>
                <w:kern w:val="0"/>
                <w:sz w:val="18"/>
                <w:szCs w:val="18"/>
              </w:rPr>
            </w:pPr>
            <w:r>
              <w:rPr>
                <w:kern w:val="0"/>
                <w:sz w:val="18"/>
                <w:szCs w:val="18"/>
              </w:rPr>
              <w:t>2</w:t>
            </w:r>
          </w:p>
        </w:tc>
        <w:tc>
          <w:tcPr>
            <w:tcW w:w="313" w:type="pct"/>
            <w:vAlign w:val="center"/>
          </w:tcPr>
          <w:p>
            <w:pPr>
              <w:kinsoku w:val="0"/>
              <w:overflowPunct w:val="0"/>
              <w:autoSpaceDE w:val="0"/>
              <w:autoSpaceDN w:val="0"/>
              <w:adjustRightInd w:val="0"/>
              <w:spacing w:line="240" w:lineRule="auto"/>
              <w:ind w:firstLine="0" w:firstLineChars="0"/>
              <w:jc w:val="center"/>
              <w:rPr>
                <w:kern w:val="0"/>
                <w:sz w:val="18"/>
                <w:szCs w:val="18"/>
              </w:rPr>
            </w:pPr>
            <w:r>
              <w:rPr>
                <w:kern w:val="0"/>
                <w:sz w:val="18"/>
                <w:szCs w:val="18"/>
              </w:rPr>
              <w:t>264</w:t>
            </w:r>
          </w:p>
        </w:tc>
        <w:tc>
          <w:tcPr>
            <w:tcW w:w="373" w:type="pct"/>
            <w:vAlign w:val="center"/>
          </w:tcPr>
          <w:p>
            <w:pPr>
              <w:kinsoku w:val="0"/>
              <w:overflowPunct w:val="0"/>
              <w:autoSpaceDE w:val="0"/>
              <w:autoSpaceDN w:val="0"/>
              <w:adjustRightInd w:val="0"/>
              <w:spacing w:line="240" w:lineRule="auto"/>
              <w:ind w:firstLine="0" w:firstLineChars="0"/>
              <w:jc w:val="center"/>
              <w:rPr>
                <w:kern w:val="0"/>
                <w:sz w:val="18"/>
                <w:szCs w:val="18"/>
              </w:rPr>
            </w:pPr>
            <w:r>
              <w:rPr>
                <w:kern w:val="0"/>
                <w:sz w:val="18"/>
                <w:szCs w:val="18"/>
              </w:rPr>
              <w:t>2012</w:t>
            </w:r>
          </w:p>
        </w:tc>
      </w:tr>
    </w:tbl>
    <w:p>
      <w:pPr>
        <w:topLinePunct/>
        <w:ind w:firstLine="560"/>
        <w:rPr>
          <w:sz w:val="28"/>
          <w:szCs w:val="28"/>
        </w:rPr>
      </w:pPr>
      <w:r>
        <w:rPr>
          <w:rFonts w:hint="eastAsia"/>
          <w:sz w:val="28"/>
          <w:szCs w:val="28"/>
        </w:rPr>
        <w:t>大冶市城区内涝防治设计重现期为</w:t>
      </w:r>
      <w:r>
        <w:rPr>
          <w:sz w:val="28"/>
          <w:szCs w:val="28"/>
        </w:rPr>
        <w:t>20</w:t>
      </w:r>
      <w:r>
        <w:rPr>
          <w:rFonts w:hint="eastAsia"/>
          <w:sz w:val="28"/>
          <w:szCs w:val="28"/>
        </w:rPr>
        <w:t>年。目前，城区内大部分地区地面标高高于</w:t>
      </w:r>
      <w:r>
        <w:rPr>
          <w:sz w:val="28"/>
          <w:szCs w:val="28"/>
        </w:rPr>
        <w:t>17.0m</w:t>
      </w:r>
      <w:r>
        <w:rPr>
          <w:rFonts w:hint="eastAsia"/>
          <w:sz w:val="28"/>
          <w:szCs w:val="28"/>
        </w:rPr>
        <w:t>，但有少数地区地面标高较低，为防止雨季时，城区雨水不能顺利排放甚至发生倒灌，需对各内湖水位进行控制。当三里七湖和红星湖水位达到起排水位</w:t>
      </w:r>
      <w:r>
        <w:rPr>
          <w:sz w:val="28"/>
          <w:szCs w:val="28"/>
        </w:rPr>
        <w:t>16.5m</w:t>
      </w:r>
      <w:r>
        <w:rPr>
          <w:rFonts w:hint="eastAsia"/>
          <w:sz w:val="28"/>
          <w:szCs w:val="28"/>
        </w:rPr>
        <w:t>时，为使排水管网中的雨水能顺利排入水体，三里七排涝站和青龙泵站开始抽排，将水位控制在</w:t>
      </w:r>
      <w:r>
        <w:rPr>
          <w:sz w:val="28"/>
          <w:szCs w:val="28"/>
        </w:rPr>
        <w:t>17.0m</w:t>
      </w:r>
      <w:r>
        <w:rPr>
          <w:rFonts w:hint="eastAsia"/>
          <w:sz w:val="28"/>
          <w:szCs w:val="28"/>
        </w:rPr>
        <w:t>以下；当尹家湖水位达到</w:t>
      </w:r>
      <w:r>
        <w:rPr>
          <w:sz w:val="28"/>
          <w:szCs w:val="28"/>
        </w:rPr>
        <w:t>16.0m</w:t>
      </w:r>
      <w:r>
        <w:rPr>
          <w:rFonts w:hint="eastAsia"/>
          <w:sz w:val="28"/>
          <w:szCs w:val="28"/>
        </w:rPr>
        <w:t>时，尹家湖闸站开始排水，将水位控制在</w:t>
      </w:r>
      <w:r>
        <w:rPr>
          <w:sz w:val="28"/>
          <w:szCs w:val="28"/>
        </w:rPr>
        <w:t>16.5</w:t>
      </w:r>
      <w:r>
        <w:rPr>
          <w:rFonts w:hint="eastAsia"/>
          <w:sz w:val="28"/>
          <w:szCs w:val="28"/>
        </w:rPr>
        <w:t>以下。赵保湖民垸和碧桂园片区地势较低，当泵站附近调蓄水体水位达到</w:t>
      </w:r>
      <w:r>
        <w:rPr>
          <w:sz w:val="28"/>
          <w:szCs w:val="28"/>
        </w:rPr>
        <w:t>13.5m</w:t>
      </w:r>
      <w:r>
        <w:rPr>
          <w:rFonts w:hint="eastAsia"/>
          <w:sz w:val="28"/>
          <w:szCs w:val="28"/>
        </w:rPr>
        <w:t>时，为使附近片区内雨水能顺利排入各水体，泵站开始抽排。当桃花民垸内鸡冠嘴排涝站附近调蓄水体水位达到</w:t>
      </w:r>
      <w:r>
        <w:rPr>
          <w:sz w:val="28"/>
          <w:szCs w:val="28"/>
        </w:rPr>
        <w:t>14.0m</w:t>
      </w:r>
      <w:r>
        <w:rPr>
          <w:rFonts w:hint="eastAsia"/>
          <w:sz w:val="28"/>
          <w:szCs w:val="28"/>
        </w:rPr>
        <w:t>时，鸡冠嘴排涝站开始抽排；当熊家洲泵站附近调蓄水体水位达到</w:t>
      </w:r>
      <w:r>
        <w:rPr>
          <w:sz w:val="28"/>
          <w:szCs w:val="28"/>
        </w:rPr>
        <w:t>14.3m</w:t>
      </w:r>
      <w:r>
        <w:rPr>
          <w:rFonts w:hint="eastAsia"/>
          <w:sz w:val="28"/>
          <w:szCs w:val="28"/>
        </w:rPr>
        <w:t>时，为使附近片区内雨水顺利排入水体，熊家洲泵站开始抽排。</w:t>
      </w:r>
    </w:p>
    <w:p>
      <w:pPr>
        <w:topLinePunct/>
        <w:ind w:firstLine="560"/>
        <w:rPr>
          <w:sz w:val="28"/>
          <w:szCs w:val="28"/>
        </w:rPr>
      </w:pPr>
      <w:r>
        <w:rPr>
          <w:rFonts w:hint="eastAsia"/>
          <w:sz w:val="28"/>
          <w:szCs w:val="28"/>
        </w:rPr>
        <w:t>（</w:t>
      </w:r>
      <w:r>
        <w:rPr>
          <w:sz w:val="28"/>
          <w:szCs w:val="28"/>
        </w:rPr>
        <w:t>2</w:t>
      </w:r>
      <w:r>
        <w:rPr>
          <w:rFonts w:hint="eastAsia"/>
          <w:sz w:val="28"/>
          <w:szCs w:val="28"/>
        </w:rPr>
        <w:t>）排涝涵闸</w:t>
      </w:r>
    </w:p>
    <w:p>
      <w:pPr>
        <w:topLinePunct/>
        <w:ind w:firstLine="560"/>
      </w:pPr>
      <w:r>
        <w:rPr>
          <w:rFonts w:hint="eastAsia"/>
          <w:sz w:val="28"/>
          <w:szCs w:val="28"/>
        </w:rPr>
        <w:t>大冶市城区水系沿线有多个排水闸，其中较大的（过流量</w:t>
      </w:r>
      <w:r>
        <w:rPr>
          <w:sz w:val="28"/>
          <w:szCs w:val="28"/>
        </w:rPr>
        <w:t>5m</w:t>
      </w:r>
      <w:r>
        <w:rPr>
          <w:rFonts w:hint="eastAsia"/>
          <w:sz w:val="28"/>
          <w:szCs w:val="28"/>
        </w:rPr>
        <w:t>³</w:t>
      </w:r>
      <w:r>
        <w:rPr>
          <w:sz w:val="28"/>
          <w:szCs w:val="28"/>
        </w:rPr>
        <w:t>/s</w:t>
      </w:r>
      <w:r>
        <w:rPr>
          <w:rFonts w:hint="eastAsia"/>
          <w:sz w:val="28"/>
          <w:szCs w:val="28"/>
        </w:rPr>
        <w:t>以上）主要有青龙闸、三里七排水闸、三里七老排水闸、桃花排水闸、尹家湖排水闸、熊家洲排水闸；还有一些较小的排水闸，如宛家嘴排水闸等，它们都对大冶市的内涝防治起着重要作用。当大冶湖水位高于城区内各水系的水位时，为防止外水进入城区，各相应闸门关闭，通过闸门附近的排涝泵站将城区内的水排出；当大冶湖水位低于城区内水系水位时，开启相应闸门，通过闸门将水排出。</w:t>
      </w:r>
    </w:p>
    <w:p>
      <w:pPr>
        <w:topLinePunct/>
        <w:ind w:firstLine="0" w:firstLineChars="0"/>
        <w:jc w:val="center"/>
        <w:rPr>
          <w:rFonts w:eastAsia="黑体"/>
          <w:b/>
          <w:szCs w:val="21"/>
        </w:rPr>
      </w:pPr>
      <w:r>
        <w:rPr>
          <w:rFonts w:hint="eastAsia"/>
          <w:b/>
        </w:rPr>
        <w:t>表</w:t>
      </w:r>
      <w:r>
        <w:rPr>
          <w:b/>
        </w:rPr>
        <w:t xml:space="preserve">2-5 </w:t>
      </w:r>
      <w:r>
        <w:rPr>
          <w:rFonts w:hint="eastAsia"/>
          <w:b/>
        </w:rPr>
        <w:t>城区主要排水闸情况表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752"/>
        <w:gridCol w:w="1870"/>
        <w:gridCol w:w="1217"/>
        <w:gridCol w:w="875"/>
        <w:gridCol w:w="1023"/>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37" w:type="pct"/>
            <w:vMerge w:val="restar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序号</w:t>
            </w:r>
          </w:p>
        </w:tc>
        <w:tc>
          <w:tcPr>
            <w:tcW w:w="943" w:type="pct"/>
            <w:vMerge w:val="restar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闸口名称</w:t>
            </w:r>
          </w:p>
        </w:tc>
        <w:tc>
          <w:tcPr>
            <w:tcW w:w="1007" w:type="pct"/>
            <w:vMerge w:val="restar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所在河流名称</w:t>
            </w:r>
          </w:p>
        </w:tc>
        <w:tc>
          <w:tcPr>
            <w:tcW w:w="655" w:type="pct"/>
            <w:vMerge w:val="restar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闸孔总净宽（</w:t>
            </w:r>
            <w:r>
              <w:rPr>
                <w:kern w:val="0"/>
                <w:sz w:val="21"/>
                <w:szCs w:val="21"/>
              </w:rPr>
              <w:t>m</w:t>
            </w:r>
            <w:r>
              <w:rPr>
                <w:rFonts w:hint="eastAsia"/>
                <w:kern w:val="0"/>
                <w:sz w:val="21"/>
                <w:szCs w:val="21"/>
              </w:rPr>
              <w:t>）</w:t>
            </w:r>
          </w:p>
        </w:tc>
        <w:tc>
          <w:tcPr>
            <w:tcW w:w="471" w:type="pct"/>
            <w:vMerge w:val="restar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闸孔数量（个）</w:t>
            </w:r>
          </w:p>
        </w:tc>
        <w:tc>
          <w:tcPr>
            <w:tcW w:w="551" w:type="pct"/>
            <w:vMerge w:val="restar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过闸流量（</w:t>
            </w:r>
            <w:r>
              <w:rPr>
                <w:kern w:val="0"/>
                <w:sz w:val="21"/>
                <w:szCs w:val="21"/>
              </w:rPr>
              <w:t>m</w:t>
            </w:r>
            <w:r>
              <w:rPr>
                <w:kern w:val="0"/>
                <w:sz w:val="21"/>
                <w:szCs w:val="21"/>
                <w:vertAlign w:val="superscript"/>
              </w:rPr>
              <w:t>3</w:t>
            </w:r>
            <w:r>
              <w:rPr>
                <w:kern w:val="0"/>
                <w:sz w:val="21"/>
                <w:szCs w:val="21"/>
              </w:rPr>
              <w:t>/s</w:t>
            </w:r>
            <w:r>
              <w:rPr>
                <w:rFonts w:hint="eastAsia"/>
                <w:kern w:val="0"/>
                <w:sz w:val="21"/>
                <w:szCs w:val="21"/>
              </w:rPr>
              <w:t>）</w:t>
            </w:r>
          </w:p>
        </w:tc>
        <w:tc>
          <w:tcPr>
            <w:tcW w:w="836" w:type="pct"/>
            <w:vMerge w:val="restar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设计防洪标准（重现期</w:t>
            </w:r>
            <w:r>
              <w:rPr>
                <w:kern w:val="0"/>
                <w:sz w:val="21"/>
                <w:szCs w:val="21"/>
              </w:rPr>
              <w:t>/a</w:t>
            </w:r>
            <w:r>
              <w:rPr>
                <w:rFonts w:hint="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537" w:type="pct"/>
            <w:vMerge w:val="continue"/>
            <w:shd w:val="clear" w:color="auto" w:fill="auto"/>
            <w:vAlign w:val="center"/>
          </w:tcPr>
          <w:p>
            <w:pPr>
              <w:widowControl/>
              <w:spacing w:line="240" w:lineRule="auto"/>
              <w:ind w:firstLine="0" w:firstLineChars="0"/>
              <w:jc w:val="center"/>
              <w:rPr>
                <w:kern w:val="0"/>
                <w:sz w:val="21"/>
                <w:szCs w:val="21"/>
              </w:rPr>
            </w:pPr>
          </w:p>
        </w:tc>
        <w:tc>
          <w:tcPr>
            <w:tcW w:w="943" w:type="pct"/>
            <w:vMerge w:val="continue"/>
            <w:shd w:val="clear" w:color="auto" w:fill="auto"/>
            <w:vAlign w:val="center"/>
          </w:tcPr>
          <w:p>
            <w:pPr>
              <w:widowControl/>
              <w:spacing w:line="240" w:lineRule="auto"/>
              <w:ind w:firstLine="0" w:firstLineChars="0"/>
              <w:jc w:val="center"/>
              <w:rPr>
                <w:kern w:val="0"/>
                <w:sz w:val="21"/>
                <w:szCs w:val="21"/>
              </w:rPr>
            </w:pPr>
          </w:p>
        </w:tc>
        <w:tc>
          <w:tcPr>
            <w:tcW w:w="1007" w:type="pct"/>
            <w:vMerge w:val="continue"/>
            <w:shd w:val="clear" w:color="auto" w:fill="auto"/>
            <w:vAlign w:val="center"/>
          </w:tcPr>
          <w:p>
            <w:pPr>
              <w:widowControl/>
              <w:spacing w:line="240" w:lineRule="auto"/>
              <w:ind w:firstLine="0" w:firstLineChars="0"/>
              <w:jc w:val="center"/>
              <w:rPr>
                <w:kern w:val="0"/>
                <w:sz w:val="21"/>
                <w:szCs w:val="21"/>
              </w:rPr>
            </w:pPr>
          </w:p>
        </w:tc>
        <w:tc>
          <w:tcPr>
            <w:tcW w:w="655" w:type="pct"/>
            <w:vMerge w:val="continue"/>
            <w:shd w:val="clear" w:color="auto" w:fill="auto"/>
            <w:vAlign w:val="center"/>
          </w:tcPr>
          <w:p>
            <w:pPr>
              <w:widowControl/>
              <w:spacing w:line="240" w:lineRule="auto"/>
              <w:ind w:firstLine="0" w:firstLineChars="0"/>
              <w:jc w:val="center"/>
              <w:rPr>
                <w:kern w:val="0"/>
                <w:sz w:val="21"/>
                <w:szCs w:val="21"/>
              </w:rPr>
            </w:pPr>
          </w:p>
        </w:tc>
        <w:tc>
          <w:tcPr>
            <w:tcW w:w="471" w:type="pct"/>
            <w:vMerge w:val="continue"/>
            <w:shd w:val="clear" w:color="auto" w:fill="auto"/>
            <w:vAlign w:val="center"/>
          </w:tcPr>
          <w:p>
            <w:pPr>
              <w:widowControl/>
              <w:spacing w:line="240" w:lineRule="auto"/>
              <w:ind w:firstLine="0" w:firstLineChars="0"/>
              <w:jc w:val="center"/>
              <w:rPr>
                <w:kern w:val="0"/>
                <w:sz w:val="21"/>
                <w:szCs w:val="21"/>
              </w:rPr>
            </w:pPr>
          </w:p>
        </w:tc>
        <w:tc>
          <w:tcPr>
            <w:tcW w:w="551" w:type="pct"/>
            <w:vMerge w:val="continue"/>
            <w:shd w:val="clear" w:color="auto" w:fill="auto"/>
            <w:vAlign w:val="center"/>
          </w:tcPr>
          <w:p>
            <w:pPr>
              <w:widowControl/>
              <w:spacing w:line="240" w:lineRule="auto"/>
              <w:ind w:firstLine="0" w:firstLineChars="0"/>
              <w:jc w:val="center"/>
              <w:rPr>
                <w:kern w:val="0"/>
                <w:sz w:val="21"/>
                <w:szCs w:val="21"/>
              </w:rPr>
            </w:pPr>
          </w:p>
        </w:tc>
        <w:tc>
          <w:tcPr>
            <w:tcW w:w="836" w:type="pct"/>
            <w:vMerge w:val="continue"/>
            <w:shd w:val="clear" w:color="auto" w:fill="auto"/>
            <w:vAlign w:val="center"/>
          </w:tcPr>
          <w:p>
            <w:pPr>
              <w:widowControl/>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shd w:val="clear" w:color="auto" w:fill="auto"/>
            <w:vAlign w:val="center"/>
          </w:tcPr>
          <w:p>
            <w:pPr>
              <w:widowControl/>
              <w:spacing w:line="240" w:lineRule="auto"/>
              <w:ind w:firstLine="0" w:firstLineChars="0"/>
              <w:jc w:val="center"/>
              <w:rPr>
                <w:kern w:val="0"/>
                <w:sz w:val="21"/>
                <w:szCs w:val="21"/>
              </w:rPr>
            </w:pPr>
            <w:r>
              <w:rPr>
                <w:kern w:val="0"/>
                <w:sz w:val="21"/>
                <w:szCs w:val="21"/>
              </w:rPr>
              <w:t>1</w:t>
            </w:r>
          </w:p>
        </w:tc>
        <w:tc>
          <w:tcPr>
            <w:tcW w:w="943"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青龙闸</w:t>
            </w:r>
          </w:p>
        </w:tc>
        <w:tc>
          <w:tcPr>
            <w:tcW w:w="1007"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大冶湖</w:t>
            </w:r>
          </w:p>
        </w:tc>
        <w:tc>
          <w:tcPr>
            <w:tcW w:w="655" w:type="pct"/>
            <w:shd w:val="clear" w:color="auto" w:fill="auto"/>
            <w:vAlign w:val="center"/>
          </w:tcPr>
          <w:p>
            <w:pPr>
              <w:widowControl/>
              <w:spacing w:line="240" w:lineRule="auto"/>
              <w:ind w:firstLine="0" w:firstLineChars="0"/>
              <w:jc w:val="center"/>
              <w:rPr>
                <w:kern w:val="0"/>
                <w:sz w:val="21"/>
                <w:szCs w:val="21"/>
              </w:rPr>
            </w:pPr>
            <w:r>
              <w:rPr>
                <w:kern w:val="0"/>
                <w:sz w:val="21"/>
                <w:szCs w:val="21"/>
              </w:rPr>
              <w:t>3.5</w:t>
            </w:r>
          </w:p>
        </w:tc>
        <w:tc>
          <w:tcPr>
            <w:tcW w:w="471" w:type="pct"/>
            <w:shd w:val="clear" w:color="auto" w:fill="auto"/>
            <w:vAlign w:val="center"/>
          </w:tcPr>
          <w:p>
            <w:pPr>
              <w:widowControl/>
              <w:spacing w:line="240" w:lineRule="auto"/>
              <w:ind w:firstLine="0" w:firstLineChars="0"/>
              <w:jc w:val="center"/>
              <w:rPr>
                <w:kern w:val="0"/>
                <w:sz w:val="21"/>
                <w:szCs w:val="21"/>
              </w:rPr>
            </w:pPr>
            <w:r>
              <w:rPr>
                <w:kern w:val="0"/>
                <w:sz w:val="21"/>
                <w:szCs w:val="21"/>
              </w:rPr>
              <w:t>1</w:t>
            </w:r>
          </w:p>
        </w:tc>
        <w:tc>
          <w:tcPr>
            <w:tcW w:w="551" w:type="pct"/>
            <w:shd w:val="clear" w:color="auto" w:fill="auto"/>
            <w:vAlign w:val="center"/>
          </w:tcPr>
          <w:p>
            <w:pPr>
              <w:widowControl/>
              <w:spacing w:line="240" w:lineRule="auto"/>
              <w:ind w:firstLine="0" w:firstLineChars="0"/>
              <w:jc w:val="center"/>
              <w:rPr>
                <w:kern w:val="0"/>
                <w:sz w:val="21"/>
                <w:szCs w:val="21"/>
              </w:rPr>
            </w:pPr>
            <w:r>
              <w:rPr>
                <w:kern w:val="0"/>
                <w:sz w:val="21"/>
                <w:szCs w:val="21"/>
              </w:rPr>
              <w:t>18.0</w:t>
            </w:r>
          </w:p>
        </w:tc>
        <w:tc>
          <w:tcPr>
            <w:tcW w:w="836" w:type="pct"/>
            <w:vAlign w:val="center"/>
          </w:tcPr>
          <w:p>
            <w:pPr>
              <w:widowControl/>
              <w:spacing w:line="240" w:lineRule="auto"/>
              <w:ind w:firstLine="0" w:firstLineChars="0"/>
              <w:jc w:val="center"/>
              <w:rPr>
                <w:kern w:val="0"/>
                <w:sz w:val="21"/>
                <w:szCs w:val="21"/>
              </w:rPr>
            </w:pPr>
            <w:r>
              <w:rPr>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shd w:val="clear" w:color="auto" w:fill="auto"/>
            <w:vAlign w:val="center"/>
          </w:tcPr>
          <w:p>
            <w:pPr>
              <w:widowControl/>
              <w:spacing w:line="240" w:lineRule="auto"/>
              <w:ind w:firstLine="0" w:firstLineChars="0"/>
              <w:jc w:val="center"/>
              <w:rPr>
                <w:kern w:val="0"/>
                <w:sz w:val="21"/>
                <w:szCs w:val="21"/>
              </w:rPr>
            </w:pPr>
            <w:r>
              <w:rPr>
                <w:kern w:val="0"/>
                <w:sz w:val="21"/>
                <w:szCs w:val="21"/>
              </w:rPr>
              <w:t>2</w:t>
            </w:r>
          </w:p>
        </w:tc>
        <w:tc>
          <w:tcPr>
            <w:tcW w:w="943"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三里七排水闸</w:t>
            </w:r>
          </w:p>
        </w:tc>
        <w:tc>
          <w:tcPr>
            <w:tcW w:w="1007"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三里七湖</w:t>
            </w:r>
          </w:p>
        </w:tc>
        <w:tc>
          <w:tcPr>
            <w:tcW w:w="655" w:type="pct"/>
            <w:shd w:val="clear" w:color="auto" w:fill="auto"/>
            <w:vAlign w:val="center"/>
          </w:tcPr>
          <w:p>
            <w:pPr>
              <w:widowControl/>
              <w:spacing w:line="240" w:lineRule="auto"/>
              <w:ind w:firstLine="0" w:firstLineChars="0"/>
              <w:jc w:val="center"/>
              <w:rPr>
                <w:kern w:val="0"/>
                <w:sz w:val="21"/>
                <w:szCs w:val="21"/>
              </w:rPr>
            </w:pPr>
            <w:r>
              <w:rPr>
                <w:kern w:val="0"/>
                <w:sz w:val="21"/>
                <w:szCs w:val="21"/>
              </w:rPr>
              <w:t>17.2</w:t>
            </w:r>
          </w:p>
        </w:tc>
        <w:tc>
          <w:tcPr>
            <w:tcW w:w="471" w:type="pct"/>
            <w:shd w:val="clear" w:color="auto" w:fill="auto"/>
            <w:vAlign w:val="center"/>
          </w:tcPr>
          <w:p>
            <w:pPr>
              <w:widowControl/>
              <w:spacing w:line="240" w:lineRule="auto"/>
              <w:ind w:firstLine="0" w:firstLineChars="0"/>
              <w:jc w:val="center"/>
              <w:rPr>
                <w:kern w:val="0"/>
                <w:sz w:val="21"/>
                <w:szCs w:val="21"/>
              </w:rPr>
            </w:pPr>
            <w:r>
              <w:rPr>
                <w:kern w:val="0"/>
                <w:sz w:val="21"/>
                <w:szCs w:val="21"/>
              </w:rPr>
              <w:t>4</w:t>
            </w:r>
          </w:p>
        </w:tc>
        <w:tc>
          <w:tcPr>
            <w:tcW w:w="551" w:type="pct"/>
            <w:shd w:val="clear" w:color="auto" w:fill="auto"/>
            <w:vAlign w:val="center"/>
          </w:tcPr>
          <w:p>
            <w:pPr>
              <w:widowControl/>
              <w:spacing w:line="240" w:lineRule="auto"/>
              <w:ind w:firstLine="0" w:firstLineChars="0"/>
              <w:jc w:val="center"/>
              <w:rPr>
                <w:kern w:val="0"/>
                <w:sz w:val="21"/>
                <w:szCs w:val="21"/>
              </w:rPr>
            </w:pPr>
            <w:r>
              <w:rPr>
                <w:kern w:val="0"/>
                <w:sz w:val="21"/>
                <w:szCs w:val="21"/>
              </w:rPr>
              <w:t>310.0</w:t>
            </w:r>
          </w:p>
        </w:tc>
        <w:tc>
          <w:tcPr>
            <w:tcW w:w="836" w:type="pct"/>
            <w:vAlign w:val="center"/>
          </w:tcPr>
          <w:p>
            <w:pPr>
              <w:widowControl/>
              <w:spacing w:line="240" w:lineRule="auto"/>
              <w:ind w:firstLine="0" w:firstLineChars="0"/>
              <w:jc w:val="center"/>
              <w:rPr>
                <w:kern w:val="0"/>
                <w:sz w:val="21"/>
                <w:szCs w:val="21"/>
              </w:rPr>
            </w:pPr>
            <w:r>
              <w:rPr>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shd w:val="clear" w:color="auto" w:fill="auto"/>
            <w:vAlign w:val="center"/>
          </w:tcPr>
          <w:p>
            <w:pPr>
              <w:widowControl/>
              <w:spacing w:line="240" w:lineRule="auto"/>
              <w:ind w:firstLine="0" w:firstLineChars="0"/>
              <w:jc w:val="center"/>
              <w:rPr>
                <w:kern w:val="0"/>
                <w:sz w:val="21"/>
                <w:szCs w:val="21"/>
              </w:rPr>
            </w:pPr>
            <w:r>
              <w:rPr>
                <w:kern w:val="0"/>
                <w:sz w:val="21"/>
                <w:szCs w:val="21"/>
              </w:rPr>
              <w:t>3</w:t>
            </w:r>
          </w:p>
        </w:tc>
        <w:tc>
          <w:tcPr>
            <w:tcW w:w="943"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三里七老排水闸</w:t>
            </w:r>
          </w:p>
        </w:tc>
        <w:tc>
          <w:tcPr>
            <w:tcW w:w="1007"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大冶湖</w:t>
            </w:r>
          </w:p>
        </w:tc>
        <w:tc>
          <w:tcPr>
            <w:tcW w:w="655" w:type="pct"/>
            <w:shd w:val="clear" w:color="auto" w:fill="auto"/>
            <w:vAlign w:val="center"/>
          </w:tcPr>
          <w:p>
            <w:pPr>
              <w:widowControl/>
              <w:spacing w:line="240" w:lineRule="auto"/>
              <w:ind w:firstLine="0" w:firstLineChars="0"/>
              <w:jc w:val="center"/>
              <w:rPr>
                <w:kern w:val="0"/>
                <w:sz w:val="21"/>
                <w:szCs w:val="21"/>
              </w:rPr>
            </w:pPr>
            <w:r>
              <w:rPr>
                <w:kern w:val="0"/>
                <w:sz w:val="21"/>
                <w:szCs w:val="21"/>
              </w:rPr>
              <w:t>13.0</w:t>
            </w:r>
          </w:p>
        </w:tc>
        <w:tc>
          <w:tcPr>
            <w:tcW w:w="471" w:type="pct"/>
            <w:shd w:val="clear" w:color="auto" w:fill="auto"/>
            <w:vAlign w:val="center"/>
          </w:tcPr>
          <w:p>
            <w:pPr>
              <w:widowControl/>
              <w:spacing w:line="240" w:lineRule="auto"/>
              <w:ind w:firstLine="0" w:firstLineChars="0"/>
              <w:jc w:val="center"/>
              <w:rPr>
                <w:kern w:val="0"/>
                <w:sz w:val="21"/>
                <w:szCs w:val="21"/>
              </w:rPr>
            </w:pPr>
            <w:r>
              <w:rPr>
                <w:kern w:val="0"/>
                <w:sz w:val="21"/>
                <w:szCs w:val="21"/>
              </w:rPr>
              <w:t>6</w:t>
            </w:r>
          </w:p>
        </w:tc>
        <w:tc>
          <w:tcPr>
            <w:tcW w:w="551" w:type="pct"/>
            <w:shd w:val="clear" w:color="auto" w:fill="auto"/>
            <w:vAlign w:val="center"/>
          </w:tcPr>
          <w:p>
            <w:pPr>
              <w:widowControl/>
              <w:spacing w:line="240" w:lineRule="auto"/>
              <w:ind w:firstLine="0" w:firstLineChars="0"/>
              <w:jc w:val="center"/>
              <w:rPr>
                <w:kern w:val="0"/>
                <w:sz w:val="21"/>
                <w:szCs w:val="21"/>
              </w:rPr>
            </w:pPr>
            <w:r>
              <w:rPr>
                <w:kern w:val="0"/>
                <w:sz w:val="21"/>
                <w:szCs w:val="21"/>
              </w:rPr>
              <w:t>134.2</w:t>
            </w:r>
          </w:p>
        </w:tc>
        <w:tc>
          <w:tcPr>
            <w:tcW w:w="836" w:type="pct"/>
            <w:vAlign w:val="center"/>
          </w:tcPr>
          <w:p>
            <w:pPr>
              <w:widowControl/>
              <w:spacing w:line="240" w:lineRule="auto"/>
              <w:ind w:firstLine="0" w:firstLineChars="0"/>
              <w:jc w:val="center"/>
              <w:rPr>
                <w:kern w:val="0"/>
                <w:sz w:val="21"/>
                <w:szCs w:val="21"/>
              </w:rPr>
            </w:pPr>
            <w:r>
              <w:rPr>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shd w:val="clear" w:color="auto" w:fill="auto"/>
            <w:vAlign w:val="center"/>
          </w:tcPr>
          <w:p>
            <w:pPr>
              <w:widowControl/>
              <w:spacing w:line="240" w:lineRule="auto"/>
              <w:ind w:firstLine="0" w:firstLineChars="0"/>
              <w:jc w:val="center"/>
              <w:rPr>
                <w:kern w:val="0"/>
                <w:sz w:val="21"/>
                <w:szCs w:val="21"/>
              </w:rPr>
            </w:pPr>
            <w:r>
              <w:rPr>
                <w:kern w:val="0"/>
                <w:sz w:val="21"/>
                <w:szCs w:val="21"/>
              </w:rPr>
              <w:t>4</w:t>
            </w:r>
          </w:p>
        </w:tc>
        <w:tc>
          <w:tcPr>
            <w:tcW w:w="943"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桃花排水闸</w:t>
            </w:r>
          </w:p>
        </w:tc>
        <w:tc>
          <w:tcPr>
            <w:tcW w:w="1007"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栖儒港</w:t>
            </w:r>
          </w:p>
        </w:tc>
        <w:tc>
          <w:tcPr>
            <w:tcW w:w="655" w:type="pct"/>
            <w:shd w:val="clear" w:color="auto" w:fill="auto"/>
            <w:vAlign w:val="center"/>
          </w:tcPr>
          <w:p>
            <w:pPr>
              <w:widowControl/>
              <w:spacing w:line="240" w:lineRule="auto"/>
              <w:ind w:firstLine="0" w:firstLineChars="0"/>
              <w:jc w:val="center"/>
              <w:rPr>
                <w:kern w:val="0"/>
                <w:sz w:val="21"/>
                <w:szCs w:val="21"/>
              </w:rPr>
            </w:pPr>
            <w:r>
              <w:rPr>
                <w:kern w:val="0"/>
                <w:sz w:val="21"/>
                <w:szCs w:val="21"/>
              </w:rPr>
              <w:t>1.2</w:t>
            </w:r>
          </w:p>
        </w:tc>
        <w:tc>
          <w:tcPr>
            <w:tcW w:w="471" w:type="pct"/>
            <w:shd w:val="clear" w:color="auto" w:fill="auto"/>
            <w:vAlign w:val="center"/>
          </w:tcPr>
          <w:p>
            <w:pPr>
              <w:widowControl/>
              <w:spacing w:line="240" w:lineRule="auto"/>
              <w:ind w:firstLine="0" w:firstLineChars="0"/>
              <w:jc w:val="center"/>
              <w:rPr>
                <w:kern w:val="0"/>
                <w:sz w:val="21"/>
                <w:szCs w:val="21"/>
              </w:rPr>
            </w:pPr>
            <w:r>
              <w:rPr>
                <w:kern w:val="0"/>
                <w:sz w:val="21"/>
                <w:szCs w:val="21"/>
              </w:rPr>
              <w:t>1</w:t>
            </w:r>
          </w:p>
        </w:tc>
        <w:tc>
          <w:tcPr>
            <w:tcW w:w="551" w:type="pct"/>
            <w:shd w:val="clear" w:color="auto" w:fill="auto"/>
            <w:vAlign w:val="center"/>
          </w:tcPr>
          <w:p>
            <w:pPr>
              <w:widowControl/>
              <w:spacing w:line="240" w:lineRule="auto"/>
              <w:ind w:firstLine="0" w:firstLineChars="0"/>
              <w:jc w:val="center"/>
              <w:rPr>
                <w:kern w:val="0"/>
                <w:sz w:val="21"/>
                <w:szCs w:val="21"/>
              </w:rPr>
            </w:pPr>
            <w:r>
              <w:rPr>
                <w:kern w:val="0"/>
                <w:sz w:val="21"/>
                <w:szCs w:val="21"/>
              </w:rPr>
              <w:t>5.0</w:t>
            </w:r>
          </w:p>
        </w:tc>
        <w:tc>
          <w:tcPr>
            <w:tcW w:w="836" w:type="pct"/>
            <w:vAlign w:val="center"/>
          </w:tcPr>
          <w:p>
            <w:pPr>
              <w:widowControl/>
              <w:spacing w:line="240" w:lineRule="auto"/>
              <w:ind w:firstLine="0" w:firstLineChars="0"/>
              <w:jc w:val="center"/>
              <w:rPr>
                <w:kern w:val="0"/>
                <w:sz w:val="21"/>
                <w:szCs w:val="21"/>
              </w:rPr>
            </w:pPr>
            <w:r>
              <w:rPr>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shd w:val="clear" w:color="auto" w:fill="auto"/>
            <w:vAlign w:val="center"/>
          </w:tcPr>
          <w:p>
            <w:pPr>
              <w:widowControl/>
              <w:spacing w:line="240" w:lineRule="auto"/>
              <w:ind w:firstLine="0" w:firstLineChars="0"/>
              <w:jc w:val="center"/>
              <w:rPr>
                <w:kern w:val="0"/>
                <w:sz w:val="21"/>
                <w:szCs w:val="21"/>
              </w:rPr>
            </w:pPr>
            <w:r>
              <w:rPr>
                <w:kern w:val="0"/>
                <w:sz w:val="21"/>
                <w:szCs w:val="21"/>
              </w:rPr>
              <w:t>5</w:t>
            </w:r>
          </w:p>
        </w:tc>
        <w:tc>
          <w:tcPr>
            <w:tcW w:w="943"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尹家湖排水闸</w:t>
            </w:r>
          </w:p>
        </w:tc>
        <w:tc>
          <w:tcPr>
            <w:tcW w:w="1007"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大冶湖</w:t>
            </w:r>
          </w:p>
        </w:tc>
        <w:tc>
          <w:tcPr>
            <w:tcW w:w="655" w:type="pct"/>
            <w:shd w:val="clear" w:color="auto" w:fill="auto"/>
            <w:vAlign w:val="center"/>
          </w:tcPr>
          <w:p>
            <w:pPr>
              <w:widowControl/>
              <w:spacing w:line="240" w:lineRule="auto"/>
              <w:ind w:firstLine="0" w:firstLineChars="0"/>
              <w:jc w:val="center"/>
              <w:rPr>
                <w:kern w:val="0"/>
                <w:sz w:val="21"/>
                <w:szCs w:val="21"/>
              </w:rPr>
            </w:pPr>
            <w:r>
              <w:rPr>
                <w:kern w:val="0"/>
                <w:sz w:val="21"/>
                <w:szCs w:val="21"/>
              </w:rPr>
              <w:t>3.6</w:t>
            </w:r>
          </w:p>
        </w:tc>
        <w:tc>
          <w:tcPr>
            <w:tcW w:w="471" w:type="pct"/>
            <w:shd w:val="clear" w:color="auto" w:fill="auto"/>
            <w:vAlign w:val="center"/>
          </w:tcPr>
          <w:p>
            <w:pPr>
              <w:widowControl/>
              <w:spacing w:line="240" w:lineRule="auto"/>
              <w:ind w:firstLine="0" w:firstLineChars="0"/>
              <w:jc w:val="center"/>
              <w:rPr>
                <w:kern w:val="0"/>
                <w:sz w:val="21"/>
                <w:szCs w:val="21"/>
              </w:rPr>
            </w:pPr>
            <w:r>
              <w:rPr>
                <w:kern w:val="0"/>
                <w:sz w:val="21"/>
                <w:szCs w:val="21"/>
              </w:rPr>
              <w:t>1</w:t>
            </w:r>
          </w:p>
        </w:tc>
        <w:tc>
          <w:tcPr>
            <w:tcW w:w="551" w:type="pct"/>
            <w:shd w:val="clear" w:color="auto" w:fill="auto"/>
            <w:vAlign w:val="center"/>
          </w:tcPr>
          <w:p>
            <w:pPr>
              <w:widowControl/>
              <w:spacing w:line="240" w:lineRule="auto"/>
              <w:ind w:firstLine="0" w:firstLineChars="0"/>
              <w:jc w:val="center"/>
              <w:rPr>
                <w:kern w:val="0"/>
                <w:sz w:val="21"/>
                <w:szCs w:val="21"/>
              </w:rPr>
            </w:pPr>
            <w:r>
              <w:rPr>
                <w:kern w:val="0"/>
                <w:sz w:val="21"/>
                <w:szCs w:val="21"/>
              </w:rPr>
              <w:t>17.9</w:t>
            </w:r>
          </w:p>
        </w:tc>
        <w:tc>
          <w:tcPr>
            <w:tcW w:w="836" w:type="pct"/>
            <w:vAlign w:val="center"/>
          </w:tcPr>
          <w:p>
            <w:pPr>
              <w:widowControl/>
              <w:spacing w:line="240" w:lineRule="auto"/>
              <w:ind w:firstLine="0" w:firstLineChars="0"/>
              <w:jc w:val="center"/>
              <w:rPr>
                <w:kern w:val="0"/>
                <w:sz w:val="21"/>
                <w:szCs w:val="21"/>
              </w:rPr>
            </w:pPr>
            <w:r>
              <w:rPr>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shd w:val="clear" w:color="auto" w:fill="auto"/>
            <w:vAlign w:val="center"/>
          </w:tcPr>
          <w:p>
            <w:pPr>
              <w:widowControl/>
              <w:spacing w:line="240" w:lineRule="auto"/>
              <w:ind w:firstLine="0" w:firstLineChars="0"/>
              <w:jc w:val="center"/>
              <w:rPr>
                <w:kern w:val="0"/>
                <w:sz w:val="21"/>
                <w:szCs w:val="21"/>
              </w:rPr>
            </w:pPr>
            <w:r>
              <w:rPr>
                <w:kern w:val="0"/>
                <w:sz w:val="21"/>
                <w:szCs w:val="21"/>
              </w:rPr>
              <w:t>6</w:t>
            </w:r>
          </w:p>
        </w:tc>
        <w:tc>
          <w:tcPr>
            <w:tcW w:w="943"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熊家洲排水闸</w:t>
            </w:r>
          </w:p>
        </w:tc>
        <w:tc>
          <w:tcPr>
            <w:tcW w:w="1007" w:type="pct"/>
            <w:shd w:val="clear" w:color="auto" w:fill="auto"/>
            <w:vAlign w:val="center"/>
          </w:tcPr>
          <w:p>
            <w:pPr>
              <w:widowControl/>
              <w:spacing w:line="240" w:lineRule="auto"/>
              <w:ind w:firstLine="0" w:firstLineChars="0"/>
              <w:jc w:val="center"/>
              <w:rPr>
                <w:kern w:val="0"/>
                <w:sz w:val="21"/>
                <w:szCs w:val="21"/>
              </w:rPr>
            </w:pPr>
            <w:r>
              <w:rPr>
                <w:rFonts w:hint="eastAsia"/>
                <w:kern w:val="0"/>
                <w:sz w:val="21"/>
                <w:szCs w:val="21"/>
              </w:rPr>
              <w:t>大冶湖</w:t>
            </w:r>
          </w:p>
        </w:tc>
        <w:tc>
          <w:tcPr>
            <w:tcW w:w="655" w:type="pct"/>
            <w:shd w:val="clear" w:color="auto" w:fill="auto"/>
            <w:vAlign w:val="center"/>
          </w:tcPr>
          <w:p>
            <w:pPr>
              <w:widowControl/>
              <w:spacing w:line="240" w:lineRule="auto"/>
              <w:ind w:firstLine="0" w:firstLineChars="0"/>
              <w:jc w:val="center"/>
              <w:rPr>
                <w:kern w:val="0"/>
                <w:sz w:val="21"/>
                <w:szCs w:val="21"/>
              </w:rPr>
            </w:pPr>
            <w:r>
              <w:rPr>
                <w:kern w:val="0"/>
                <w:sz w:val="21"/>
                <w:szCs w:val="21"/>
              </w:rPr>
              <w:t>1.2</w:t>
            </w:r>
          </w:p>
        </w:tc>
        <w:tc>
          <w:tcPr>
            <w:tcW w:w="471" w:type="pct"/>
            <w:shd w:val="clear" w:color="auto" w:fill="auto"/>
            <w:vAlign w:val="center"/>
          </w:tcPr>
          <w:p>
            <w:pPr>
              <w:widowControl/>
              <w:spacing w:line="240" w:lineRule="auto"/>
              <w:ind w:firstLine="0" w:firstLineChars="0"/>
              <w:jc w:val="center"/>
              <w:rPr>
                <w:kern w:val="0"/>
                <w:sz w:val="21"/>
                <w:szCs w:val="21"/>
              </w:rPr>
            </w:pPr>
            <w:r>
              <w:rPr>
                <w:kern w:val="0"/>
                <w:sz w:val="21"/>
                <w:szCs w:val="21"/>
              </w:rPr>
              <w:t>1</w:t>
            </w:r>
          </w:p>
        </w:tc>
        <w:tc>
          <w:tcPr>
            <w:tcW w:w="551" w:type="pct"/>
            <w:shd w:val="clear" w:color="auto" w:fill="auto"/>
            <w:vAlign w:val="center"/>
          </w:tcPr>
          <w:p>
            <w:pPr>
              <w:widowControl/>
              <w:spacing w:line="240" w:lineRule="auto"/>
              <w:ind w:firstLine="0" w:firstLineChars="0"/>
              <w:jc w:val="center"/>
              <w:rPr>
                <w:kern w:val="0"/>
                <w:sz w:val="21"/>
                <w:szCs w:val="21"/>
              </w:rPr>
            </w:pPr>
            <w:r>
              <w:rPr>
                <w:kern w:val="0"/>
                <w:sz w:val="21"/>
                <w:szCs w:val="21"/>
              </w:rPr>
              <w:t>5.6</w:t>
            </w:r>
          </w:p>
        </w:tc>
        <w:tc>
          <w:tcPr>
            <w:tcW w:w="836" w:type="pct"/>
            <w:vAlign w:val="center"/>
          </w:tcPr>
          <w:p>
            <w:pPr>
              <w:widowControl/>
              <w:spacing w:line="240" w:lineRule="auto"/>
              <w:ind w:firstLine="0" w:firstLineChars="0"/>
              <w:jc w:val="center"/>
              <w:rPr>
                <w:kern w:val="0"/>
                <w:sz w:val="21"/>
                <w:szCs w:val="21"/>
              </w:rPr>
            </w:pPr>
            <w:r>
              <w:rPr>
                <w:kern w:val="0"/>
                <w:sz w:val="21"/>
                <w:szCs w:val="21"/>
              </w:rPr>
              <w:t>10</w:t>
            </w:r>
          </w:p>
        </w:tc>
      </w:tr>
    </w:tbl>
    <w:p>
      <w:pPr>
        <w:topLinePunct/>
        <w:ind w:firstLine="560"/>
        <w:rPr>
          <w:sz w:val="28"/>
          <w:szCs w:val="28"/>
        </w:rPr>
      </w:pPr>
      <w:r>
        <w:rPr>
          <w:rFonts w:hint="eastAsia"/>
          <w:sz w:val="28"/>
          <w:szCs w:val="28"/>
        </w:rPr>
        <w:t>（</w:t>
      </w:r>
      <w:r>
        <w:rPr>
          <w:sz w:val="28"/>
          <w:szCs w:val="28"/>
        </w:rPr>
        <w:t>3</w:t>
      </w:r>
      <w:r>
        <w:rPr>
          <w:rFonts w:hint="eastAsia"/>
          <w:sz w:val="28"/>
          <w:szCs w:val="28"/>
        </w:rPr>
        <w:t>）排水管、渠</w:t>
      </w:r>
    </w:p>
    <w:p>
      <w:pPr>
        <w:topLinePunct/>
        <w:ind w:firstLine="560"/>
      </w:pPr>
      <w:r>
        <w:rPr>
          <w:rFonts w:hint="eastAsia"/>
          <w:sz w:val="28"/>
          <w:szCs w:val="28"/>
        </w:rPr>
        <w:t>大冶市城区排水系统历经多年建设，形成老城区以截流式合流制为主，新区及城西北工业园区以雨污分流制为主的管网系统，排水主干管网已基本形成，现状城区共有市政排水管道</w:t>
      </w:r>
      <w:r>
        <w:rPr>
          <w:sz w:val="28"/>
          <w:szCs w:val="28"/>
        </w:rPr>
        <w:t>543.02km</w:t>
      </w:r>
      <w:r>
        <w:rPr>
          <w:rFonts w:hint="eastAsia"/>
          <w:sz w:val="28"/>
          <w:szCs w:val="28"/>
        </w:rPr>
        <w:t>，其中雨水管道</w:t>
      </w:r>
      <w:r>
        <w:rPr>
          <w:sz w:val="28"/>
          <w:szCs w:val="28"/>
        </w:rPr>
        <w:t>287.92km</w:t>
      </w:r>
      <w:r>
        <w:rPr>
          <w:rFonts w:hint="eastAsia"/>
          <w:sz w:val="28"/>
          <w:szCs w:val="28"/>
        </w:rPr>
        <w:t>，污水管道</w:t>
      </w:r>
      <w:r>
        <w:rPr>
          <w:sz w:val="28"/>
          <w:szCs w:val="28"/>
        </w:rPr>
        <w:t>247.11km</w:t>
      </w:r>
      <w:r>
        <w:rPr>
          <w:rFonts w:hint="eastAsia"/>
          <w:sz w:val="28"/>
          <w:szCs w:val="28"/>
        </w:rPr>
        <w:t>，其中污水干管（</w:t>
      </w:r>
      <w:r>
        <w:rPr>
          <w:sz w:val="28"/>
          <w:szCs w:val="28"/>
        </w:rPr>
        <w:t>D400~900</w:t>
      </w:r>
      <w:r>
        <w:rPr>
          <w:rFonts w:hint="eastAsia"/>
          <w:sz w:val="28"/>
          <w:szCs w:val="28"/>
        </w:rPr>
        <w:t>）总长</w:t>
      </w:r>
      <w:r>
        <w:rPr>
          <w:sz w:val="28"/>
          <w:szCs w:val="28"/>
        </w:rPr>
        <w:t>209.23km</w:t>
      </w:r>
      <w:r>
        <w:rPr>
          <w:rFonts w:hint="eastAsia"/>
          <w:sz w:val="28"/>
          <w:szCs w:val="28"/>
        </w:rPr>
        <w:t>，污水主干管（</w:t>
      </w:r>
      <w:r>
        <w:rPr>
          <w:sz w:val="28"/>
          <w:szCs w:val="28"/>
        </w:rPr>
        <w:t>D1000~1800</w:t>
      </w:r>
      <w:r>
        <w:rPr>
          <w:rFonts w:hint="eastAsia"/>
          <w:sz w:val="28"/>
          <w:szCs w:val="28"/>
        </w:rPr>
        <w:t>）</w:t>
      </w:r>
      <w:r>
        <w:rPr>
          <w:sz w:val="28"/>
          <w:szCs w:val="28"/>
        </w:rPr>
        <w:t>25.59km</w:t>
      </w:r>
      <w:r>
        <w:rPr>
          <w:rFonts w:hint="eastAsia"/>
          <w:sz w:val="28"/>
          <w:szCs w:val="28"/>
        </w:rPr>
        <w:t>，合流管道</w:t>
      </w:r>
      <w:r>
        <w:rPr>
          <w:sz w:val="28"/>
          <w:szCs w:val="28"/>
        </w:rPr>
        <w:t>8.0km</w:t>
      </w:r>
      <w:r>
        <w:rPr>
          <w:rFonts w:hint="eastAsia"/>
          <w:sz w:val="28"/>
          <w:szCs w:val="28"/>
        </w:rPr>
        <w:t>。</w:t>
      </w:r>
    </w:p>
    <w:p>
      <w:pPr>
        <w:pStyle w:val="4"/>
        <w:topLinePunct/>
        <w:spacing w:before="0" w:after="0" w:line="240" w:lineRule="auto"/>
        <w:ind w:firstLine="0" w:firstLineChars="0"/>
        <w:rPr>
          <w:sz w:val="28"/>
          <w:szCs w:val="28"/>
        </w:rPr>
      </w:pPr>
      <w:bookmarkStart w:id="30" w:name="_Toc133666653"/>
      <w:bookmarkStart w:id="31" w:name="_Toc26136"/>
      <w:bookmarkStart w:id="32" w:name="_Toc134984859"/>
      <w:bookmarkStart w:id="33" w:name="_Toc3491"/>
      <w:r>
        <w:rPr>
          <w:sz w:val="28"/>
          <w:szCs w:val="28"/>
        </w:rPr>
        <w:t>2</w:t>
      </w:r>
      <w:r>
        <w:rPr>
          <w:rFonts w:hint="eastAsia"/>
          <w:sz w:val="28"/>
          <w:szCs w:val="28"/>
        </w:rPr>
        <w:t>、重点交通设施</w:t>
      </w:r>
      <w:bookmarkEnd w:id="30"/>
      <w:bookmarkEnd w:id="31"/>
      <w:bookmarkEnd w:id="32"/>
      <w:bookmarkEnd w:id="33"/>
    </w:p>
    <w:p>
      <w:pPr>
        <w:topLinePunct/>
        <w:ind w:firstLine="560"/>
        <w:rPr>
          <w:rFonts w:asciiTheme="minorHAnsi" w:hAnsiTheme="minorHAnsi"/>
          <w:sz w:val="28"/>
          <w:szCs w:val="28"/>
          <w:highlight w:val="yellow"/>
        </w:rPr>
      </w:pPr>
      <w:r>
        <w:rPr>
          <w:rFonts w:hint="eastAsia"/>
          <w:sz w:val="28"/>
          <w:szCs w:val="28"/>
        </w:rPr>
        <w:t>城区重点交通设施有城西铁路桥涵洞、五九铁路桥涵洞、矿委转盘、金湾国际酒店转盘、快速路铁路桥涵洞、大棋铁路桥涵洞、站前大道铁路桥涵洞。</w:t>
      </w:r>
    </w:p>
    <w:p>
      <w:pPr>
        <w:pStyle w:val="4"/>
        <w:topLinePunct/>
        <w:spacing w:before="0" w:after="0" w:line="240" w:lineRule="auto"/>
        <w:ind w:firstLine="0" w:firstLineChars="0"/>
        <w:rPr>
          <w:sz w:val="28"/>
          <w:szCs w:val="28"/>
        </w:rPr>
      </w:pPr>
      <w:bookmarkStart w:id="34" w:name="_Toc134984860"/>
      <w:bookmarkStart w:id="35" w:name="_Toc29254"/>
      <w:bookmarkStart w:id="36" w:name="_Toc20887"/>
      <w:bookmarkStart w:id="37" w:name="_Toc133666654"/>
      <w:r>
        <w:rPr>
          <w:sz w:val="28"/>
          <w:szCs w:val="28"/>
        </w:rPr>
        <w:t>3</w:t>
      </w:r>
      <w:r>
        <w:rPr>
          <w:rFonts w:hint="eastAsia"/>
          <w:sz w:val="28"/>
          <w:szCs w:val="28"/>
        </w:rPr>
        <w:t>、生命线工程</w:t>
      </w:r>
      <w:bookmarkEnd w:id="34"/>
      <w:bookmarkEnd w:id="35"/>
      <w:bookmarkEnd w:id="36"/>
      <w:bookmarkEnd w:id="37"/>
    </w:p>
    <w:p>
      <w:pPr>
        <w:topLinePunct/>
        <w:ind w:firstLine="560"/>
        <w:rPr>
          <w:sz w:val="28"/>
          <w:szCs w:val="28"/>
        </w:rPr>
      </w:pPr>
      <w:r>
        <w:rPr>
          <w:rFonts w:hint="eastAsia"/>
          <w:sz w:val="28"/>
          <w:szCs w:val="28"/>
        </w:rPr>
        <w:t>重点保护保障居民生产生活的供水、供电、供气生产销售企业以及主要管网。主要保障生命线工程的供水、供电、供气企业具体名单见下表：</w:t>
      </w:r>
    </w:p>
    <w:p>
      <w:pPr>
        <w:topLinePunct/>
        <w:ind w:firstLine="0" w:firstLineChars="0"/>
        <w:jc w:val="center"/>
        <w:rPr>
          <w:highlight w:val="yellow"/>
        </w:rPr>
      </w:pPr>
      <w:r>
        <w:rPr>
          <w:rFonts w:hint="eastAsia"/>
          <w:b/>
        </w:rPr>
        <w:t>表</w:t>
      </w:r>
      <w:r>
        <w:rPr>
          <w:b/>
        </w:rPr>
        <w:t xml:space="preserve">2-6 </w:t>
      </w:r>
      <w:r>
        <w:rPr>
          <w:rFonts w:hint="eastAsia"/>
          <w:b/>
        </w:rPr>
        <w:t>大冶市重要供水、供电、供气单位名单</w:t>
      </w:r>
    </w:p>
    <w:tbl>
      <w:tblPr>
        <w:tblStyle w:val="1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9"/>
        <w:gridCol w:w="3496"/>
        <w:gridCol w:w="49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79" w:type="pct"/>
            <w:vAlign w:val="center"/>
          </w:tcPr>
          <w:p>
            <w:pPr>
              <w:topLinePunct/>
              <w:spacing w:line="240" w:lineRule="auto"/>
              <w:ind w:firstLine="0" w:firstLineChars="0"/>
              <w:jc w:val="center"/>
              <w:rPr>
                <w:sz w:val="21"/>
                <w:szCs w:val="21"/>
              </w:rPr>
            </w:pPr>
            <w:r>
              <w:rPr>
                <w:rFonts w:hint="eastAsia"/>
                <w:sz w:val="21"/>
                <w:szCs w:val="21"/>
              </w:rPr>
              <w:t>序号</w:t>
            </w:r>
          </w:p>
        </w:tc>
        <w:tc>
          <w:tcPr>
            <w:tcW w:w="1882" w:type="pct"/>
            <w:vAlign w:val="center"/>
          </w:tcPr>
          <w:p>
            <w:pPr>
              <w:topLinePunct/>
              <w:spacing w:line="240" w:lineRule="auto"/>
              <w:ind w:firstLine="0" w:firstLineChars="0"/>
              <w:jc w:val="center"/>
              <w:rPr>
                <w:rFonts w:hAnsiTheme="minorHAnsi"/>
                <w:sz w:val="21"/>
                <w:szCs w:val="21"/>
              </w:rPr>
            </w:pPr>
            <w:r>
              <w:rPr>
                <w:rFonts w:hint="eastAsia"/>
                <w:sz w:val="21"/>
                <w:szCs w:val="21"/>
              </w:rPr>
              <w:t>名称</w:t>
            </w:r>
          </w:p>
        </w:tc>
        <w:tc>
          <w:tcPr>
            <w:tcW w:w="2639" w:type="pct"/>
            <w:vAlign w:val="center"/>
          </w:tcPr>
          <w:p>
            <w:pPr>
              <w:topLinePunct/>
              <w:spacing w:line="240" w:lineRule="auto"/>
              <w:ind w:firstLine="0" w:firstLineChars="0"/>
              <w:jc w:val="center"/>
              <w:rPr>
                <w:rFonts w:hAnsiTheme="minorHAnsi"/>
                <w:sz w:val="21"/>
                <w:szCs w:val="21"/>
              </w:rPr>
            </w:pPr>
            <w:r>
              <w:rPr>
                <w:rFonts w:hint="eastAsia"/>
                <w:sz w:val="21"/>
                <w:szCs w:val="21"/>
              </w:rPr>
              <w:t>地址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vAlign w:val="center"/>
          </w:tcPr>
          <w:p>
            <w:pPr>
              <w:topLinePunct/>
              <w:spacing w:line="240" w:lineRule="auto"/>
              <w:ind w:firstLine="0" w:firstLineChars="0"/>
              <w:jc w:val="center"/>
              <w:rPr>
                <w:sz w:val="21"/>
                <w:szCs w:val="21"/>
              </w:rPr>
            </w:pPr>
            <w:r>
              <w:rPr>
                <w:sz w:val="21"/>
                <w:szCs w:val="21"/>
              </w:rPr>
              <w:t>1</w:t>
            </w:r>
          </w:p>
        </w:tc>
        <w:tc>
          <w:tcPr>
            <w:tcW w:w="1882" w:type="pct"/>
            <w:vAlign w:val="center"/>
          </w:tcPr>
          <w:p>
            <w:pPr>
              <w:topLinePunct/>
              <w:spacing w:line="240" w:lineRule="auto"/>
              <w:ind w:firstLine="0" w:firstLineChars="0"/>
              <w:jc w:val="center"/>
              <w:rPr>
                <w:sz w:val="21"/>
                <w:szCs w:val="21"/>
              </w:rPr>
            </w:pPr>
            <w:r>
              <w:rPr>
                <w:rFonts w:hint="eastAsia"/>
                <w:sz w:val="21"/>
                <w:szCs w:val="21"/>
              </w:rPr>
              <w:t>港湖加压站</w:t>
            </w:r>
          </w:p>
        </w:tc>
        <w:tc>
          <w:tcPr>
            <w:tcW w:w="2639" w:type="pct"/>
            <w:vAlign w:val="center"/>
          </w:tcPr>
          <w:p>
            <w:pPr>
              <w:topLinePunct/>
              <w:spacing w:line="240" w:lineRule="auto"/>
              <w:ind w:firstLine="0" w:firstLineChars="0"/>
              <w:jc w:val="center"/>
              <w:rPr>
                <w:sz w:val="21"/>
                <w:szCs w:val="21"/>
              </w:rPr>
            </w:pPr>
            <w:r>
              <w:rPr>
                <w:rFonts w:hint="eastAsia" w:eastAsia="宋体" w:cs="宋体"/>
                <w:kern w:val="0"/>
                <w:sz w:val="21"/>
                <w:szCs w:val="21"/>
              </w:rPr>
              <w:t>新冶大道与青松路交叉口附近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vAlign w:val="center"/>
          </w:tcPr>
          <w:p>
            <w:pPr>
              <w:topLinePunct/>
              <w:spacing w:line="240" w:lineRule="auto"/>
              <w:ind w:firstLine="0" w:firstLineChars="0"/>
              <w:jc w:val="center"/>
              <w:rPr>
                <w:sz w:val="21"/>
                <w:szCs w:val="21"/>
              </w:rPr>
            </w:pPr>
            <w:r>
              <w:rPr>
                <w:sz w:val="21"/>
                <w:szCs w:val="21"/>
              </w:rPr>
              <w:t>2</w:t>
            </w:r>
          </w:p>
        </w:tc>
        <w:tc>
          <w:tcPr>
            <w:tcW w:w="1882" w:type="pct"/>
            <w:vAlign w:val="center"/>
          </w:tcPr>
          <w:p>
            <w:pPr>
              <w:topLinePunct/>
              <w:spacing w:line="240" w:lineRule="auto"/>
              <w:ind w:firstLine="0" w:firstLineChars="0"/>
              <w:jc w:val="center"/>
              <w:rPr>
                <w:sz w:val="21"/>
                <w:szCs w:val="21"/>
              </w:rPr>
            </w:pPr>
            <w:r>
              <w:rPr>
                <w:rFonts w:hint="eastAsia" w:eastAsia="宋体" w:cs="宋体"/>
                <w:kern w:val="0"/>
                <w:sz w:val="21"/>
                <w:szCs w:val="21"/>
              </w:rPr>
              <w:t>罗桥</w:t>
            </w:r>
            <w:r>
              <w:rPr>
                <w:sz w:val="21"/>
                <w:szCs w:val="21"/>
              </w:rPr>
              <w:t>110</w:t>
            </w:r>
            <w:r>
              <w:rPr>
                <w:rFonts w:hint="eastAsia"/>
                <w:sz w:val="21"/>
                <w:szCs w:val="21"/>
              </w:rPr>
              <w:t>千伏变电站</w:t>
            </w:r>
          </w:p>
        </w:tc>
        <w:tc>
          <w:tcPr>
            <w:tcW w:w="2639" w:type="pct"/>
            <w:vAlign w:val="center"/>
          </w:tcPr>
          <w:p>
            <w:pPr>
              <w:topLinePunct/>
              <w:spacing w:line="240" w:lineRule="auto"/>
              <w:ind w:firstLine="0" w:firstLineChars="0"/>
              <w:jc w:val="center"/>
              <w:rPr>
                <w:sz w:val="21"/>
                <w:szCs w:val="21"/>
              </w:rPr>
            </w:pPr>
            <w:r>
              <w:rPr>
                <w:rFonts w:hint="eastAsia"/>
                <w:sz w:val="21"/>
                <w:szCs w:val="21"/>
              </w:rPr>
              <w:t>大冶大道与罗金大道交叉口附近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vAlign w:val="center"/>
          </w:tcPr>
          <w:p>
            <w:pPr>
              <w:topLinePunct/>
              <w:spacing w:line="240" w:lineRule="auto"/>
              <w:ind w:firstLine="0" w:firstLineChars="0"/>
              <w:jc w:val="center"/>
              <w:rPr>
                <w:sz w:val="21"/>
                <w:szCs w:val="21"/>
              </w:rPr>
            </w:pPr>
            <w:r>
              <w:rPr>
                <w:sz w:val="21"/>
                <w:szCs w:val="21"/>
              </w:rPr>
              <w:t>3</w:t>
            </w:r>
          </w:p>
        </w:tc>
        <w:tc>
          <w:tcPr>
            <w:tcW w:w="1882" w:type="pct"/>
            <w:vAlign w:val="center"/>
          </w:tcPr>
          <w:p>
            <w:pPr>
              <w:topLinePunct/>
              <w:spacing w:line="240" w:lineRule="auto"/>
              <w:ind w:firstLine="0" w:firstLineChars="0"/>
              <w:jc w:val="center"/>
              <w:rPr>
                <w:sz w:val="21"/>
                <w:szCs w:val="21"/>
              </w:rPr>
            </w:pPr>
            <w:r>
              <w:rPr>
                <w:rFonts w:hint="eastAsia" w:eastAsia="宋体" w:cs="宋体"/>
                <w:kern w:val="0"/>
                <w:sz w:val="21"/>
                <w:szCs w:val="21"/>
              </w:rPr>
              <w:t>石洪铺</w:t>
            </w:r>
            <w:r>
              <w:rPr>
                <w:sz w:val="21"/>
                <w:szCs w:val="21"/>
              </w:rPr>
              <w:t>110</w:t>
            </w:r>
            <w:r>
              <w:rPr>
                <w:rFonts w:hint="eastAsia"/>
                <w:sz w:val="21"/>
                <w:szCs w:val="21"/>
              </w:rPr>
              <w:t>千伏变电站</w:t>
            </w:r>
          </w:p>
        </w:tc>
        <w:tc>
          <w:tcPr>
            <w:tcW w:w="2639" w:type="pct"/>
            <w:vAlign w:val="center"/>
          </w:tcPr>
          <w:p>
            <w:pPr>
              <w:topLinePunct/>
              <w:spacing w:line="240" w:lineRule="auto"/>
              <w:ind w:firstLine="0" w:firstLineChars="0"/>
              <w:jc w:val="center"/>
              <w:rPr>
                <w:sz w:val="21"/>
                <w:szCs w:val="21"/>
              </w:rPr>
            </w:pPr>
            <w:r>
              <w:rPr>
                <w:rFonts w:hint="eastAsia"/>
                <w:sz w:val="21"/>
                <w:szCs w:val="21"/>
              </w:rPr>
              <w:t>金港路与兴园路交叉路口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vAlign w:val="center"/>
          </w:tcPr>
          <w:p>
            <w:pPr>
              <w:topLinePunct/>
              <w:spacing w:line="240" w:lineRule="auto"/>
              <w:ind w:firstLine="0" w:firstLineChars="0"/>
              <w:jc w:val="center"/>
              <w:rPr>
                <w:sz w:val="21"/>
                <w:szCs w:val="21"/>
              </w:rPr>
            </w:pPr>
            <w:r>
              <w:rPr>
                <w:sz w:val="21"/>
                <w:szCs w:val="21"/>
              </w:rPr>
              <w:t>4</w:t>
            </w:r>
          </w:p>
        </w:tc>
        <w:tc>
          <w:tcPr>
            <w:tcW w:w="1882" w:type="pct"/>
            <w:vAlign w:val="center"/>
          </w:tcPr>
          <w:p>
            <w:pPr>
              <w:topLinePunct/>
              <w:spacing w:line="240" w:lineRule="auto"/>
              <w:ind w:firstLine="0" w:firstLineChars="0"/>
              <w:jc w:val="center"/>
              <w:rPr>
                <w:sz w:val="21"/>
                <w:szCs w:val="21"/>
              </w:rPr>
            </w:pPr>
            <w:r>
              <w:rPr>
                <w:rFonts w:hint="eastAsia" w:eastAsia="宋体" w:cs="宋体"/>
                <w:kern w:val="0"/>
                <w:sz w:val="21"/>
                <w:szCs w:val="21"/>
              </w:rPr>
              <w:t>永胜</w:t>
            </w:r>
            <w:r>
              <w:rPr>
                <w:sz w:val="21"/>
                <w:szCs w:val="21"/>
              </w:rPr>
              <w:t>110</w:t>
            </w:r>
            <w:r>
              <w:rPr>
                <w:rFonts w:hint="eastAsia"/>
                <w:sz w:val="21"/>
                <w:szCs w:val="21"/>
              </w:rPr>
              <w:t>千伏变电站</w:t>
            </w:r>
          </w:p>
        </w:tc>
        <w:tc>
          <w:tcPr>
            <w:tcW w:w="2639" w:type="pct"/>
            <w:vAlign w:val="center"/>
          </w:tcPr>
          <w:p>
            <w:pPr>
              <w:topLinePunct/>
              <w:spacing w:line="240" w:lineRule="auto"/>
              <w:ind w:firstLine="0" w:firstLineChars="0"/>
              <w:jc w:val="center"/>
              <w:rPr>
                <w:sz w:val="21"/>
                <w:szCs w:val="21"/>
              </w:rPr>
            </w:pPr>
            <w:r>
              <w:rPr>
                <w:rFonts w:hint="eastAsia"/>
                <w:sz w:val="21"/>
                <w:szCs w:val="21"/>
              </w:rPr>
              <w:t>乾塔路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vAlign w:val="center"/>
          </w:tcPr>
          <w:p>
            <w:pPr>
              <w:topLinePunct/>
              <w:spacing w:line="240" w:lineRule="auto"/>
              <w:ind w:firstLine="0" w:firstLineChars="0"/>
              <w:jc w:val="center"/>
              <w:rPr>
                <w:sz w:val="21"/>
                <w:szCs w:val="21"/>
              </w:rPr>
            </w:pPr>
            <w:r>
              <w:rPr>
                <w:sz w:val="21"/>
                <w:szCs w:val="21"/>
              </w:rPr>
              <w:t>5</w:t>
            </w:r>
          </w:p>
        </w:tc>
        <w:tc>
          <w:tcPr>
            <w:tcW w:w="1882" w:type="pct"/>
            <w:vAlign w:val="center"/>
          </w:tcPr>
          <w:p>
            <w:pPr>
              <w:topLinePunct/>
              <w:spacing w:line="240" w:lineRule="auto"/>
              <w:ind w:firstLine="0" w:firstLineChars="0"/>
              <w:jc w:val="center"/>
              <w:rPr>
                <w:sz w:val="21"/>
                <w:szCs w:val="21"/>
              </w:rPr>
            </w:pPr>
            <w:r>
              <w:rPr>
                <w:rFonts w:hint="eastAsia" w:eastAsia="宋体" w:cs="宋体"/>
                <w:kern w:val="0"/>
                <w:sz w:val="21"/>
                <w:szCs w:val="21"/>
              </w:rPr>
              <w:t>湛月</w:t>
            </w:r>
            <w:r>
              <w:rPr>
                <w:sz w:val="21"/>
                <w:szCs w:val="21"/>
              </w:rPr>
              <w:t>110</w:t>
            </w:r>
            <w:r>
              <w:rPr>
                <w:rFonts w:hint="eastAsia"/>
                <w:sz w:val="21"/>
                <w:szCs w:val="21"/>
              </w:rPr>
              <w:t>千伏变电站</w:t>
            </w:r>
          </w:p>
        </w:tc>
        <w:tc>
          <w:tcPr>
            <w:tcW w:w="2639" w:type="pct"/>
            <w:vAlign w:val="center"/>
          </w:tcPr>
          <w:p>
            <w:pPr>
              <w:topLinePunct/>
              <w:spacing w:line="240" w:lineRule="auto"/>
              <w:ind w:firstLine="0" w:firstLineChars="0"/>
              <w:jc w:val="center"/>
              <w:rPr>
                <w:sz w:val="21"/>
                <w:szCs w:val="21"/>
              </w:rPr>
            </w:pPr>
            <w:r>
              <w:rPr>
                <w:rFonts w:hint="eastAsia"/>
                <w:sz w:val="21"/>
                <w:szCs w:val="21"/>
              </w:rPr>
              <w:t>金湖大道与东风东路交叉口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vAlign w:val="center"/>
          </w:tcPr>
          <w:p>
            <w:pPr>
              <w:topLinePunct/>
              <w:spacing w:line="240" w:lineRule="auto"/>
              <w:ind w:firstLine="0" w:firstLineChars="0"/>
              <w:jc w:val="center"/>
              <w:rPr>
                <w:sz w:val="21"/>
                <w:szCs w:val="21"/>
              </w:rPr>
            </w:pPr>
            <w:r>
              <w:rPr>
                <w:sz w:val="21"/>
                <w:szCs w:val="21"/>
              </w:rPr>
              <w:t>6</w:t>
            </w:r>
          </w:p>
        </w:tc>
        <w:tc>
          <w:tcPr>
            <w:tcW w:w="1882" w:type="pct"/>
            <w:vAlign w:val="center"/>
          </w:tcPr>
          <w:p>
            <w:pPr>
              <w:topLinePunct/>
              <w:spacing w:line="240" w:lineRule="auto"/>
              <w:ind w:firstLine="0" w:firstLineChars="0"/>
              <w:jc w:val="center"/>
              <w:rPr>
                <w:sz w:val="21"/>
                <w:szCs w:val="21"/>
              </w:rPr>
            </w:pPr>
            <w:r>
              <w:rPr>
                <w:rFonts w:hint="eastAsia" w:eastAsia="宋体" w:cs="宋体"/>
                <w:kern w:val="0"/>
                <w:sz w:val="21"/>
                <w:szCs w:val="21"/>
              </w:rPr>
              <w:t>马叫</w:t>
            </w:r>
            <w:r>
              <w:rPr>
                <w:sz w:val="21"/>
                <w:szCs w:val="21"/>
              </w:rPr>
              <w:t>110</w:t>
            </w:r>
            <w:r>
              <w:rPr>
                <w:rFonts w:hint="eastAsia"/>
                <w:sz w:val="21"/>
                <w:szCs w:val="21"/>
              </w:rPr>
              <w:t>千伏变电站</w:t>
            </w:r>
          </w:p>
        </w:tc>
        <w:tc>
          <w:tcPr>
            <w:tcW w:w="2639" w:type="pct"/>
            <w:vAlign w:val="center"/>
          </w:tcPr>
          <w:p>
            <w:pPr>
              <w:topLinePunct/>
              <w:spacing w:line="240" w:lineRule="auto"/>
              <w:ind w:firstLine="0" w:firstLineChars="0"/>
              <w:jc w:val="center"/>
              <w:rPr>
                <w:sz w:val="21"/>
                <w:szCs w:val="21"/>
              </w:rPr>
            </w:pPr>
            <w:r>
              <w:rPr>
                <w:rFonts w:hint="eastAsia"/>
                <w:sz w:val="21"/>
                <w:szCs w:val="21"/>
              </w:rPr>
              <w:t>矿冶大道与金螺路交叉口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vAlign w:val="center"/>
          </w:tcPr>
          <w:p>
            <w:pPr>
              <w:topLinePunct/>
              <w:spacing w:line="240" w:lineRule="auto"/>
              <w:ind w:firstLine="0" w:firstLineChars="0"/>
              <w:jc w:val="center"/>
              <w:rPr>
                <w:sz w:val="21"/>
                <w:szCs w:val="21"/>
              </w:rPr>
            </w:pPr>
            <w:r>
              <w:rPr>
                <w:sz w:val="21"/>
                <w:szCs w:val="21"/>
              </w:rPr>
              <w:t>7</w:t>
            </w:r>
          </w:p>
        </w:tc>
        <w:tc>
          <w:tcPr>
            <w:tcW w:w="1882" w:type="pct"/>
            <w:vAlign w:val="center"/>
          </w:tcPr>
          <w:p>
            <w:pPr>
              <w:topLinePunct/>
              <w:spacing w:line="240" w:lineRule="auto"/>
              <w:ind w:firstLine="0" w:firstLineChars="0"/>
              <w:jc w:val="center"/>
              <w:rPr>
                <w:sz w:val="21"/>
                <w:szCs w:val="21"/>
              </w:rPr>
            </w:pPr>
            <w:r>
              <w:rPr>
                <w:rFonts w:hint="eastAsia" w:eastAsia="宋体" w:cs="宋体"/>
                <w:kern w:val="0"/>
                <w:sz w:val="21"/>
                <w:szCs w:val="21"/>
              </w:rPr>
              <w:t>鸡冠咀</w:t>
            </w:r>
            <w:r>
              <w:rPr>
                <w:sz w:val="21"/>
                <w:szCs w:val="21"/>
              </w:rPr>
              <w:t>110</w:t>
            </w:r>
            <w:r>
              <w:rPr>
                <w:rFonts w:hint="eastAsia"/>
                <w:sz w:val="21"/>
                <w:szCs w:val="21"/>
              </w:rPr>
              <w:t>千伏变电站</w:t>
            </w:r>
          </w:p>
        </w:tc>
        <w:tc>
          <w:tcPr>
            <w:tcW w:w="2639" w:type="pct"/>
            <w:vAlign w:val="center"/>
          </w:tcPr>
          <w:p>
            <w:pPr>
              <w:topLinePunct/>
              <w:spacing w:line="240" w:lineRule="auto"/>
              <w:ind w:firstLine="0" w:firstLineChars="0"/>
              <w:jc w:val="center"/>
              <w:rPr>
                <w:sz w:val="21"/>
                <w:szCs w:val="21"/>
              </w:rPr>
            </w:pPr>
            <w:r>
              <w:rPr>
                <w:rFonts w:hint="eastAsia"/>
                <w:sz w:val="21"/>
                <w:szCs w:val="21"/>
              </w:rPr>
              <w:t>铜都大道大青山曹家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vAlign w:val="center"/>
          </w:tcPr>
          <w:p>
            <w:pPr>
              <w:topLinePunct/>
              <w:spacing w:line="240" w:lineRule="auto"/>
              <w:ind w:firstLine="0" w:firstLineChars="0"/>
              <w:jc w:val="center"/>
              <w:rPr>
                <w:sz w:val="21"/>
                <w:szCs w:val="21"/>
              </w:rPr>
            </w:pPr>
            <w:r>
              <w:rPr>
                <w:sz w:val="21"/>
                <w:szCs w:val="21"/>
              </w:rPr>
              <w:t>8</w:t>
            </w:r>
          </w:p>
        </w:tc>
        <w:tc>
          <w:tcPr>
            <w:tcW w:w="1882" w:type="pct"/>
            <w:vAlign w:val="center"/>
          </w:tcPr>
          <w:p>
            <w:pPr>
              <w:topLinePunct/>
              <w:spacing w:line="240" w:lineRule="auto"/>
              <w:ind w:firstLine="0" w:firstLineChars="0"/>
              <w:jc w:val="center"/>
              <w:rPr>
                <w:sz w:val="21"/>
                <w:szCs w:val="21"/>
              </w:rPr>
            </w:pPr>
            <w:r>
              <w:rPr>
                <w:rFonts w:hint="eastAsia"/>
                <w:sz w:val="21"/>
                <w:szCs w:val="21"/>
              </w:rPr>
              <w:t>大冶华润天然气公司</w:t>
            </w:r>
          </w:p>
        </w:tc>
        <w:tc>
          <w:tcPr>
            <w:tcW w:w="2639" w:type="pct"/>
            <w:vAlign w:val="center"/>
          </w:tcPr>
          <w:p>
            <w:pPr>
              <w:topLinePunct/>
              <w:spacing w:line="240" w:lineRule="auto"/>
              <w:ind w:firstLine="0" w:firstLineChars="0"/>
              <w:jc w:val="center"/>
              <w:rPr>
                <w:sz w:val="21"/>
                <w:szCs w:val="21"/>
              </w:rPr>
            </w:pPr>
            <w:r>
              <w:rPr>
                <w:rFonts w:hint="eastAsia"/>
                <w:sz w:val="21"/>
                <w:szCs w:val="21"/>
              </w:rPr>
              <w:t>新冶大道98号</w:t>
            </w:r>
          </w:p>
        </w:tc>
      </w:tr>
    </w:tbl>
    <w:p>
      <w:pPr>
        <w:pStyle w:val="4"/>
        <w:topLinePunct/>
        <w:spacing w:before="0" w:after="0" w:line="240" w:lineRule="auto"/>
        <w:ind w:firstLine="0" w:firstLineChars="0"/>
        <w:rPr>
          <w:sz w:val="28"/>
          <w:szCs w:val="28"/>
        </w:rPr>
      </w:pPr>
      <w:bookmarkStart w:id="38" w:name="_Toc133666655"/>
      <w:bookmarkStart w:id="39" w:name="_Toc11996"/>
      <w:bookmarkStart w:id="40" w:name="_Toc6258"/>
      <w:bookmarkStart w:id="41" w:name="_Toc134984861"/>
      <w:r>
        <w:rPr>
          <w:sz w:val="28"/>
          <w:szCs w:val="28"/>
        </w:rPr>
        <w:t>4</w:t>
      </w:r>
      <w:r>
        <w:rPr>
          <w:rFonts w:hint="eastAsia"/>
          <w:sz w:val="28"/>
          <w:szCs w:val="28"/>
        </w:rPr>
        <w:t>、地下空间</w:t>
      </w:r>
      <w:bookmarkEnd w:id="38"/>
      <w:bookmarkEnd w:id="39"/>
      <w:bookmarkEnd w:id="40"/>
      <w:bookmarkEnd w:id="41"/>
    </w:p>
    <w:p>
      <w:pPr>
        <w:topLinePunct/>
        <w:ind w:firstLine="560"/>
        <w:rPr>
          <w:sz w:val="28"/>
          <w:szCs w:val="28"/>
        </w:rPr>
      </w:pPr>
      <w:r>
        <w:rPr>
          <w:rFonts w:hint="eastAsia"/>
          <w:sz w:val="28"/>
          <w:szCs w:val="28"/>
        </w:rPr>
        <w:t>大冶大道地下商业街及商会大厦地下停车场、铜都广场地下停车场、育才华府地下停车场、雨润广场地下停车场、宏维人家地下商场、政务中心地下停车场等以及小区地下空间。</w:t>
      </w:r>
      <w:bookmarkStart w:id="42" w:name="_Toc11942"/>
      <w:bookmarkStart w:id="43" w:name="_Toc16174"/>
    </w:p>
    <w:p>
      <w:pPr>
        <w:pStyle w:val="4"/>
        <w:topLinePunct/>
        <w:spacing w:before="0" w:after="0" w:line="240" w:lineRule="auto"/>
        <w:ind w:firstLine="0" w:firstLineChars="0"/>
        <w:rPr>
          <w:sz w:val="28"/>
          <w:szCs w:val="28"/>
        </w:rPr>
      </w:pPr>
      <w:bookmarkStart w:id="44" w:name="_Toc133666656"/>
      <w:bookmarkStart w:id="45" w:name="_Toc134984862"/>
      <w:r>
        <w:rPr>
          <w:sz w:val="28"/>
          <w:szCs w:val="28"/>
        </w:rPr>
        <w:t>5</w:t>
      </w:r>
      <w:r>
        <w:rPr>
          <w:rFonts w:hint="eastAsia"/>
          <w:sz w:val="28"/>
          <w:szCs w:val="28"/>
        </w:rPr>
        <w:t>、人员密集场所</w:t>
      </w:r>
      <w:bookmarkEnd w:id="42"/>
      <w:bookmarkEnd w:id="43"/>
      <w:bookmarkEnd w:id="44"/>
      <w:bookmarkEnd w:id="45"/>
    </w:p>
    <w:p>
      <w:pPr>
        <w:topLinePunct/>
        <w:ind w:firstLine="560"/>
        <w:rPr>
          <w:sz w:val="28"/>
          <w:szCs w:val="28"/>
        </w:rPr>
      </w:pPr>
      <w:r>
        <w:rPr>
          <w:rFonts w:hint="eastAsia"/>
          <w:sz w:val="28"/>
          <w:szCs w:val="28"/>
        </w:rPr>
        <w:t>重点防护人员密集场所主要有医院、福利院、学校等，具体名单见下表：</w:t>
      </w:r>
    </w:p>
    <w:p>
      <w:pPr>
        <w:topLinePunct/>
        <w:ind w:firstLine="0" w:firstLineChars="0"/>
        <w:jc w:val="center"/>
      </w:pPr>
      <w:r>
        <w:rPr>
          <w:rFonts w:hint="eastAsia"/>
          <w:b/>
        </w:rPr>
        <w:t>表</w:t>
      </w:r>
      <w:r>
        <w:rPr>
          <w:b/>
        </w:rPr>
        <w:t xml:space="preserve">2-7 </w:t>
      </w:r>
      <w:r>
        <w:rPr>
          <w:rFonts w:hint="eastAsia"/>
          <w:b/>
        </w:rPr>
        <w:t>大冶市重点防护人员密集场所名单</w:t>
      </w:r>
    </w:p>
    <w:tbl>
      <w:tblPr>
        <w:tblStyle w:val="1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89"/>
        <w:gridCol w:w="3496"/>
        <w:gridCol w:w="49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blHeader/>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序号</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名称</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地址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大冶市人民医院</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东风路</w:t>
            </w:r>
            <w:r>
              <w:rPr>
                <w:rFonts w:eastAsia="宋体"/>
                <w:sz w:val="21"/>
                <w:szCs w:val="21"/>
              </w:rPr>
              <w:t>25</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w:t>
            </w:r>
          </w:p>
        </w:tc>
        <w:tc>
          <w:tcPr>
            <w:tcW w:w="1882" w:type="pct"/>
            <w:shd w:val="clear" w:color="auto" w:fill="auto"/>
            <w:vAlign w:val="center"/>
          </w:tcPr>
          <w:p>
            <w:pPr>
              <w:pStyle w:val="48"/>
              <w:jc w:val="center"/>
              <w:rPr>
                <w:sz w:val="21"/>
                <w:szCs w:val="21"/>
              </w:rPr>
            </w:pPr>
            <w:r>
              <w:rPr>
                <w:rFonts w:hint="eastAsia" w:cstheme="minorBidi"/>
                <w:color w:val="auto"/>
                <w:kern w:val="2"/>
                <w:sz w:val="21"/>
                <w:szCs w:val="21"/>
              </w:rPr>
              <w:t>大冶市中医院</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建设路</w:t>
            </w:r>
            <w:r>
              <w:rPr>
                <w:rFonts w:eastAsia="宋体"/>
                <w:sz w:val="21"/>
                <w:szCs w:val="21"/>
              </w:rPr>
              <w:t>6</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3</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大冶市妇幼保健院</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老东街路</w:t>
            </w:r>
            <w:r>
              <w:rPr>
                <w:rFonts w:eastAsia="宋体"/>
                <w:sz w:val="21"/>
                <w:szCs w:val="21"/>
              </w:rPr>
              <w:t>9</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4</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大冶市第三人民医院</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商城路</w:t>
            </w:r>
            <w:r>
              <w:rPr>
                <w:rFonts w:eastAsia="宋体"/>
                <w:sz w:val="21"/>
                <w:szCs w:val="21"/>
              </w:rPr>
              <w:t>5</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5</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大冶市社会福利中心</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金湖大道与</w:t>
            </w:r>
            <w:r>
              <w:rPr>
                <w:rFonts w:eastAsia="宋体"/>
                <w:sz w:val="21"/>
                <w:szCs w:val="21"/>
              </w:rPr>
              <w:t>106</w:t>
            </w:r>
            <w:r>
              <w:rPr>
                <w:rFonts w:hint="eastAsia" w:eastAsia="宋体"/>
                <w:sz w:val="21"/>
                <w:szCs w:val="21"/>
              </w:rPr>
              <w:t>国道交叉口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6</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大冶华祺老年公寓</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腾龙大道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7</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kern w:val="0"/>
                <w:sz w:val="21"/>
                <w:szCs w:val="21"/>
              </w:rPr>
              <w:t>大冶中等专业学校</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新冶大道</w:t>
            </w:r>
            <w:r>
              <w:rPr>
                <w:rFonts w:eastAsia="宋体"/>
                <w:sz w:val="21"/>
                <w:szCs w:val="21"/>
              </w:rPr>
              <w:t>118</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8</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kern w:val="0"/>
                <w:sz w:val="21"/>
                <w:szCs w:val="21"/>
              </w:rPr>
              <w:t>大冶市远航职业技术学校</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东岳路</w:t>
            </w:r>
            <w:r>
              <w:rPr>
                <w:rFonts w:eastAsia="宋体"/>
                <w:sz w:val="21"/>
                <w:szCs w:val="21"/>
              </w:rPr>
              <w:t>41</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9</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kern w:val="0"/>
                <w:sz w:val="21"/>
                <w:szCs w:val="21"/>
              </w:rPr>
              <w:t>大冶市职业技术学校</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新冶大道</w:t>
            </w:r>
            <w:r>
              <w:rPr>
                <w:rFonts w:eastAsia="宋体"/>
                <w:sz w:val="21"/>
                <w:szCs w:val="21"/>
              </w:rPr>
              <w:t>116</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10</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w w:val="115"/>
                <w:kern w:val="0"/>
                <w:sz w:val="21"/>
                <w:szCs w:val="21"/>
              </w:rPr>
              <w:t>大冶市第一中学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金湖大道</w:t>
            </w:r>
            <w:r>
              <w:rPr>
                <w:rFonts w:eastAsia="宋体"/>
                <w:sz w:val="21"/>
                <w:szCs w:val="21"/>
              </w:rPr>
              <w:t>18</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11</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w w:val="115"/>
                <w:kern w:val="0"/>
                <w:sz w:val="21"/>
                <w:szCs w:val="21"/>
              </w:rPr>
              <w:t>大冶市实验高中</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大冶市实验高中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12</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cs="宋体"/>
                <w:w w:val="115"/>
                <w:kern w:val="0"/>
                <w:sz w:val="21"/>
                <w:szCs w:val="21"/>
              </w:rPr>
              <w:t>大冶市第二中学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学府路</w:t>
            </w:r>
            <w:r>
              <w:rPr>
                <w:rFonts w:eastAsia="宋体"/>
                <w:sz w:val="21"/>
                <w:szCs w:val="21"/>
              </w:rPr>
              <w:t>36</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13</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cs="宋体"/>
                <w:w w:val="115"/>
                <w:kern w:val="0"/>
                <w:sz w:val="21"/>
                <w:szCs w:val="21"/>
              </w:rPr>
              <w:t>大冶市第六中学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金井路</w:t>
            </w:r>
            <w:r>
              <w:rPr>
                <w:rFonts w:eastAsia="宋体"/>
                <w:sz w:val="21"/>
                <w:szCs w:val="21"/>
              </w:rPr>
              <w:t>1</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14</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w w:val="115"/>
                <w:kern w:val="0"/>
                <w:sz w:val="21"/>
                <w:szCs w:val="21"/>
              </w:rPr>
              <w:t>大冶市英才学校</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东风东路</w:t>
            </w:r>
            <w:r>
              <w:rPr>
                <w:rFonts w:eastAsia="宋体"/>
                <w:sz w:val="21"/>
                <w:szCs w:val="21"/>
              </w:rPr>
              <w:t>20</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15</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w w:val="115"/>
                <w:kern w:val="0"/>
                <w:sz w:val="21"/>
                <w:szCs w:val="21"/>
              </w:rPr>
              <w:t>大冶市华中学校</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乾塔路</w:t>
            </w:r>
            <w:r>
              <w:rPr>
                <w:rFonts w:eastAsia="宋体"/>
                <w:sz w:val="21"/>
                <w:szCs w:val="21"/>
              </w:rPr>
              <w:t>28</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16</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w w:val="115"/>
                <w:kern w:val="0"/>
                <w:sz w:val="21"/>
                <w:szCs w:val="21"/>
              </w:rPr>
              <w:t>大冶市菁华中学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大冶大道</w:t>
            </w:r>
            <w:r>
              <w:rPr>
                <w:rFonts w:eastAsia="宋体"/>
                <w:sz w:val="21"/>
                <w:szCs w:val="21"/>
              </w:rPr>
              <w:t>75</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17</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w w:val="115"/>
                <w:kern w:val="0"/>
                <w:sz w:val="21"/>
                <w:szCs w:val="21"/>
              </w:rPr>
              <w:t>大冶市滨湖学校</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劲牌路</w:t>
            </w:r>
            <w:r>
              <w:rPr>
                <w:rFonts w:eastAsia="宋体"/>
                <w:sz w:val="21"/>
                <w:szCs w:val="21"/>
              </w:rPr>
              <w:t>29</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18</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w w:val="115"/>
                <w:kern w:val="0"/>
                <w:sz w:val="21"/>
                <w:szCs w:val="21"/>
              </w:rPr>
              <w:t>大冶市铜绿山矿学校</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铜绿山矿五村小区</w:t>
            </w:r>
            <w:r>
              <w:rPr>
                <w:rFonts w:eastAsia="宋体"/>
                <w:sz w:val="21"/>
                <w:szCs w:val="21"/>
              </w:rPr>
              <w:t>10</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19</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w w:val="115"/>
                <w:kern w:val="0"/>
                <w:sz w:val="21"/>
                <w:szCs w:val="21"/>
              </w:rPr>
              <w:t>大冶市东岳中学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东岳街办建设社区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20</w:t>
            </w:r>
          </w:p>
        </w:tc>
        <w:tc>
          <w:tcPr>
            <w:tcW w:w="1882"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cs="宋体"/>
                <w:w w:val="115"/>
                <w:kern w:val="0"/>
                <w:sz w:val="21"/>
                <w:szCs w:val="21"/>
              </w:rPr>
              <w:t>大冶市实验中学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北门路</w:t>
            </w:r>
            <w:r>
              <w:rPr>
                <w:rFonts w:eastAsia="宋体"/>
                <w:sz w:val="21"/>
                <w:szCs w:val="21"/>
              </w:rPr>
              <w:t>2</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21</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w w:val="115"/>
                <w:sz w:val="21"/>
                <w:szCs w:val="21"/>
              </w:rPr>
              <w:t>大冶市第二实验中学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大冶市罗桥街道社区居委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22</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sz w:val="21"/>
                <w:szCs w:val="21"/>
              </w:rPr>
              <w:t>大冶市金湖街道办事处初级中学</w:t>
            </w:r>
          </w:p>
        </w:tc>
        <w:tc>
          <w:tcPr>
            <w:tcW w:w="2639" w:type="pct"/>
            <w:shd w:val="clear" w:color="auto" w:fill="auto"/>
            <w:vAlign w:val="center"/>
          </w:tcPr>
          <w:p>
            <w:pPr>
              <w:topLinePunct/>
              <w:spacing w:line="240" w:lineRule="auto"/>
              <w:ind w:firstLine="0" w:firstLineChars="0"/>
              <w:jc w:val="center"/>
              <w:rPr>
                <w:rFonts w:eastAsia="宋体" w:cs="Arial"/>
                <w:color w:val="4C4C4C"/>
                <w:sz w:val="21"/>
                <w:szCs w:val="21"/>
                <w:shd w:val="clear" w:color="auto" w:fill="FFFFFF"/>
              </w:rPr>
            </w:pPr>
            <w:r>
              <w:rPr>
                <w:rFonts w:hint="eastAsia" w:eastAsia="宋体"/>
                <w:sz w:val="21"/>
                <w:szCs w:val="21"/>
              </w:rPr>
              <w:t>金湖中学街道办事处马叫村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23</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cs="宋体"/>
                <w:w w:val="115"/>
                <w:kern w:val="0"/>
                <w:sz w:val="21"/>
                <w:szCs w:val="21"/>
              </w:rPr>
              <w:t>大冶市实验小学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东岳路</w:t>
            </w:r>
            <w:r>
              <w:rPr>
                <w:rFonts w:eastAsia="宋体"/>
                <w:sz w:val="21"/>
                <w:szCs w:val="21"/>
              </w:rPr>
              <w:t>22</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24</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cs="宋体"/>
                <w:w w:val="115"/>
                <w:kern w:val="0"/>
                <w:sz w:val="21"/>
                <w:szCs w:val="21"/>
              </w:rPr>
              <w:t>大冶市新街小学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大冶大道</w:t>
            </w:r>
            <w:r>
              <w:rPr>
                <w:rFonts w:eastAsia="宋体"/>
                <w:sz w:val="21"/>
                <w:szCs w:val="21"/>
              </w:rPr>
              <w:t>56</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25</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cs="宋体"/>
                <w:w w:val="115"/>
                <w:kern w:val="0"/>
                <w:sz w:val="21"/>
                <w:szCs w:val="21"/>
              </w:rPr>
              <w:t>大冶师范附属小学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老龙头东巷</w:t>
            </w:r>
            <w:r>
              <w:rPr>
                <w:rFonts w:eastAsia="宋体"/>
                <w:sz w:val="21"/>
                <w:szCs w:val="21"/>
              </w:rPr>
              <w:t>3</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26</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cs="宋体"/>
                <w:w w:val="115"/>
                <w:kern w:val="0"/>
                <w:sz w:val="21"/>
                <w:szCs w:val="21"/>
              </w:rPr>
              <w:t>大冶市育才小学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建设路</w:t>
            </w:r>
            <w:r>
              <w:rPr>
                <w:rFonts w:eastAsia="宋体"/>
                <w:sz w:val="21"/>
                <w:szCs w:val="21"/>
              </w:rPr>
              <w:t>4</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27</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cs="宋体"/>
                <w:w w:val="115"/>
                <w:kern w:val="0"/>
                <w:sz w:val="21"/>
                <w:szCs w:val="21"/>
              </w:rPr>
              <w:t>大冶市北门小学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伍家垅巷</w:t>
            </w:r>
            <w:r>
              <w:rPr>
                <w:rFonts w:eastAsia="宋体"/>
                <w:sz w:val="21"/>
                <w:szCs w:val="21"/>
              </w:rPr>
              <w:t>43</w:t>
            </w:r>
            <w:r>
              <w:rPr>
                <w:rFonts w:hint="eastAsia" w:eastAsia="宋体"/>
                <w:sz w:val="21"/>
                <w:szCs w:val="21"/>
              </w:rPr>
              <w:t>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479" w:type="pct"/>
            <w:shd w:val="clear" w:color="auto" w:fill="auto"/>
            <w:vAlign w:val="center"/>
          </w:tcPr>
          <w:p>
            <w:pPr>
              <w:topLinePunct/>
              <w:spacing w:line="240" w:lineRule="auto"/>
              <w:ind w:firstLine="0" w:firstLineChars="0"/>
              <w:jc w:val="center"/>
              <w:rPr>
                <w:rFonts w:eastAsia="宋体"/>
                <w:sz w:val="21"/>
                <w:szCs w:val="21"/>
              </w:rPr>
            </w:pPr>
            <w:r>
              <w:rPr>
                <w:rFonts w:eastAsia="宋体"/>
                <w:sz w:val="21"/>
                <w:szCs w:val="21"/>
              </w:rPr>
              <w:t>28</w:t>
            </w:r>
          </w:p>
        </w:tc>
        <w:tc>
          <w:tcPr>
            <w:tcW w:w="1882" w:type="pct"/>
            <w:shd w:val="clear" w:color="auto" w:fill="auto"/>
            <w:vAlign w:val="center"/>
          </w:tcPr>
          <w:p>
            <w:pPr>
              <w:topLinePunct/>
              <w:spacing w:line="240" w:lineRule="auto"/>
              <w:ind w:firstLine="0" w:firstLineChars="0"/>
              <w:jc w:val="center"/>
              <w:rPr>
                <w:rFonts w:eastAsia="宋体" w:cs="宋体"/>
                <w:w w:val="115"/>
                <w:kern w:val="0"/>
                <w:sz w:val="21"/>
                <w:szCs w:val="21"/>
              </w:rPr>
            </w:pPr>
            <w:r>
              <w:rPr>
                <w:rFonts w:hint="eastAsia" w:eastAsia="宋体" w:cs="宋体"/>
                <w:w w:val="115"/>
                <w:kern w:val="0"/>
                <w:sz w:val="21"/>
                <w:szCs w:val="21"/>
              </w:rPr>
              <w:t>大冶市第二实验小学</w:t>
            </w:r>
          </w:p>
        </w:tc>
        <w:tc>
          <w:tcPr>
            <w:tcW w:w="2639" w:type="pct"/>
            <w:shd w:val="clear" w:color="auto" w:fill="auto"/>
            <w:vAlign w:val="center"/>
          </w:tcPr>
          <w:p>
            <w:pPr>
              <w:topLinePunct/>
              <w:spacing w:line="240" w:lineRule="auto"/>
              <w:ind w:firstLine="0" w:firstLineChars="0"/>
              <w:jc w:val="center"/>
              <w:rPr>
                <w:rFonts w:eastAsia="宋体"/>
                <w:sz w:val="21"/>
                <w:szCs w:val="21"/>
              </w:rPr>
            </w:pPr>
            <w:r>
              <w:rPr>
                <w:rFonts w:hint="eastAsia" w:eastAsia="宋体"/>
                <w:sz w:val="21"/>
                <w:szCs w:val="21"/>
              </w:rPr>
              <w:t>罗金大道</w:t>
            </w:r>
            <w:r>
              <w:rPr>
                <w:rFonts w:eastAsia="宋体"/>
                <w:sz w:val="21"/>
                <w:szCs w:val="21"/>
              </w:rPr>
              <w:t>29</w:t>
            </w:r>
            <w:r>
              <w:rPr>
                <w:rFonts w:hint="eastAsia" w:eastAsia="宋体"/>
                <w:sz w:val="21"/>
                <w:szCs w:val="21"/>
              </w:rPr>
              <w:t>号</w:t>
            </w:r>
          </w:p>
        </w:tc>
      </w:tr>
    </w:tbl>
    <w:p>
      <w:pPr>
        <w:topLinePunct/>
        <w:ind w:firstLine="480"/>
        <w:rPr>
          <w:highlight w:val="yellow"/>
        </w:rPr>
      </w:pPr>
    </w:p>
    <w:p>
      <w:pPr>
        <w:topLinePunct/>
        <w:ind w:firstLine="480"/>
        <w:rPr>
          <w:highlight w:val="yellow"/>
        </w:rPr>
      </w:pPr>
    </w:p>
    <w:p>
      <w:pPr>
        <w:pStyle w:val="2"/>
        <w:topLinePunct/>
        <w:ind w:firstLine="643"/>
        <w:rPr>
          <w:highlight w:val="yellow"/>
        </w:rPr>
        <w:sectPr>
          <w:pgSz w:w="11906" w:h="16838"/>
          <w:pgMar w:top="1418" w:right="1134" w:bottom="1418" w:left="1701" w:header="851" w:footer="992" w:gutter="0"/>
          <w:cols w:space="425" w:num="1"/>
          <w:docGrid w:type="lines" w:linePitch="326" w:charSpace="0"/>
        </w:sectPr>
      </w:pPr>
    </w:p>
    <w:p>
      <w:pPr>
        <w:pStyle w:val="2"/>
        <w:topLinePunct/>
        <w:spacing w:line="240" w:lineRule="auto"/>
        <w:ind w:firstLine="0" w:firstLineChars="0"/>
        <w:jc w:val="center"/>
      </w:pPr>
      <w:bookmarkStart w:id="46" w:name="_Toc134984863"/>
      <w:bookmarkStart w:id="47" w:name="_Toc133666658"/>
      <w:r>
        <w:rPr>
          <w:rFonts w:hint="eastAsia"/>
        </w:rPr>
        <w:t>三、内涝应急工作重点</w:t>
      </w:r>
      <w:bookmarkEnd w:id="46"/>
      <w:bookmarkEnd w:id="47"/>
    </w:p>
    <w:p>
      <w:pPr>
        <w:pStyle w:val="3"/>
        <w:topLinePunct/>
        <w:ind w:firstLine="0" w:firstLineChars="0"/>
      </w:pPr>
      <w:bookmarkStart w:id="48" w:name="_Toc133666659"/>
      <w:bookmarkStart w:id="49" w:name="_Toc134984864"/>
      <w:r>
        <w:rPr>
          <w:rFonts w:hint="eastAsia"/>
        </w:rPr>
        <w:t>（一）应急处置措施</w:t>
      </w:r>
      <w:bookmarkEnd w:id="48"/>
      <w:bookmarkEnd w:id="49"/>
    </w:p>
    <w:p>
      <w:pPr>
        <w:pStyle w:val="4"/>
        <w:topLinePunct/>
        <w:spacing w:before="0" w:after="0" w:line="240" w:lineRule="auto"/>
        <w:ind w:firstLine="0" w:firstLineChars="0"/>
        <w:rPr>
          <w:sz w:val="28"/>
          <w:szCs w:val="28"/>
        </w:rPr>
      </w:pPr>
      <w:bookmarkStart w:id="50" w:name="_Toc133666660"/>
      <w:bookmarkStart w:id="51" w:name="_Toc134984865"/>
      <w:r>
        <w:rPr>
          <w:sz w:val="28"/>
          <w:szCs w:val="28"/>
        </w:rPr>
        <w:t>1</w:t>
      </w:r>
      <w:r>
        <w:rPr>
          <w:rFonts w:hint="eastAsia"/>
          <w:sz w:val="28"/>
          <w:szCs w:val="28"/>
        </w:rPr>
        <w:t>、积水防范和抢险</w:t>
      </w:r>
      <w:bookmarkEnd w:id="50"/>
      <w:bookmarkEnd w:id="51"/>
    </w:p>
    <w:p>
      <w:pPr>
        <w:topLinePunct/>
        <w:ind w:firstLine="560"/>
        <w:rPr>
          <w:rFonts w:asciiTheme="minorHAnsi" w:hAnsiTheme="minorHAnsi"/>
          <w:sz w:val="28"/>
          <w:szCs w:val="28"/>
        </w:rPr>
      </w:pPr>
      <w:r>
        <w:rPr>
          <w:rFonts w:hint="eastAsia"/>
          <w:sz w:val="28"/>
          <w:szCs w:val="28"/>
        </w:rPr>
        <w:t>汛期来临前，市防指、城市排水防涝主管部门及有关部门（单位）要组织本系统、本部门（单位）开展排水防涝安全检查，加强泵站、闸门等设施养护维修，清疏雨水管渠及附属设施，确保现有设施正常运营；对城市具有排涝功能的河、湖进行整治疏浚，做好市政排水管网的水位协调调度，保障汛期排水畅通；对降雨时易发生快速汇流的重点部位、下凹式立交桥、地下构筑物以及往年易涝点等重点区域，逐一制定除涝方案，通过建设雨水调蓄、新建或改造排涝泵站等方式解决内涝积水问题；对于短时间难以消除的易涝点，要设立醒目、易于辨识的警示标记，落实应急抢险和交通疏导等措施。</w:t>
      </w:r>
    </w:p>
    <w:p>
      <w:pPr>
        <w:topLinePunct/>
        <w:ind w:firstLine="560"/>
        <w:rPr>
          <w:sz w:val="28"/>
          <w:szCs w:val="28"/>
        </w:rPr>
      </w:pPr>
      <w:r>
        <w:rPr>
          <w:rFonts w:hint="eastAsia"/>
          <w:sz w:val="28"/>
          <w:szCs w:val="28"/>
        </w:rPr>
        <w:t>在进行管网维护、应急排水、井下及有限空间作业时，市城市排水防涝主管部门及有关单位要督促排水设施维护单位，安排专门人员进行现场安全管理，严格遵守操作规程，落实安全措施，避免人员中毒、伤亡等安全事故发生。</w:t>
      </w:r>
    </w:p>
    <w:p>
      <w:pPr>
        <w:topLinePunct/>
        <w:ind w:firstLine="560"/>
        <w:rPr>
          <w:sz w:val="28"/>
          <w:szCs w:val="28"/>
        </w:rPr>
      </w:pPr>
      <w:r>
        <w:rPr>
          <w:rFonts w:hint="eastAsia"/>
          <w:sz w:val="28"/>
          <w:szCs w:val="28"/>
        </w:rPr>
        <w:t>市防指督查督导组要按照督查督促工作的要求，督促各相关责任单位完成汛前排水防涝隐患整改任务。</w:t>
      </w:r>
    </w:p>
    <w:p>
      <w:pPr>
        <w:topLinePunct/>
        <w:ind w:firstLine="560"/>
        <w:rPr>
          <w:sz w:val="28"/>
          <w:szCs w:val="28"/>
        </w:rPr>
      </w:pPr>
      <w:r>
        <w:rPr>
          <w:rFonts w:hint="eastAsia"/>
          <w:sz w:val="28"/>
          <w:szCs w:val="28"/>
        </w:rPr>
        <w:t>市防指要对重点排水防涝隐患实行挂牌督办，责任到人，限期整改，确保汛前检查隐患整改到位，并及时将汛前隐患整改销号情况报城市防洪（排渍）指挥部备案。</w:t>
      </w:r>
    </w:p>
    <w:p>
      <w:pPr>
        <w:topLinePunct/>
        <w:ind w:firstLine="560"/>
        <w:rPr>
          <w:sz w:val="28"/>
          <w:szCs w:val="28"/>
        </w:rPr>
      </w:pPr>
      <w:r>
        <w:rPr>
          <w:rFonts w:hint="eastAsia"/>
          <w:sz w:val="28"/>
          <w:szCs w:val="28"/>
        </w:rPr>
        <w:t>抓好排水泵站设备设施汛前维护维修是确保汛期安全运行，正常排水防涝的基础与关键。泵站汛前设备维护检修工作要立足“早计划、早部署、全面维护、精心组织、确保质量、按期完成”。</w:t>
      </w:r>
    </w:p>
    <w:p>
      <w:pPr>
        <w:topLinePunct/>
        <w:ind w:firstLine="560"/>
        <w:rPr>
          <w:rFonts w:asciiTheme="minorHAnsi" w:hAnsiTheme="minorHAnsi"/>
          <w:sz w:val="28"/>
          <w:szCs w:val="28"/>
        </w:rPr>
      </w:pPr>
      <w:r>
        <w:rPr>
          <w:rFonts w:hint="eastAsia"/>
          <w:sz w:val="28"/>
          <w:szCs w:val="28"/>
        </w:rPr>
        <w:t>要树立“防大汛、抢大险、排大涝、救大灾”的防汛意识，对城市排水管渠进行全面检查、维护和清疏，对易渍、易淤及容易产生泥石流险情的地段随时安排清理疏浚，明确责任，强化管理。同时，严格执行城市排水许可制度，确保设施完好，管网、管渠畅通。排水管理处要对城区的维护和疏浚情况进行检查。</w:t>
      </w:r>
    </w:p>
    <w:p>
      <w:pPr>
        <w:topLinePunct/>
        <w:ind w:firstLine="560"/>
        <w:rPr>
          <w:sz w:val="28"/>
          <w:szCs w:val="28"/>
        </w:rPr>
      </w:pPr>
      <w:r>
        <w:rPr>
          <w:rFonts w:hint="eastAsia"/>
          <w:sz w:val="28"/>
          <w:szCs w:val="28"/>
        </w:rPr>
        <w:t>各在建项目的建设单位是各项目防汛责任的主体，应制定相应工程项目影响范围内的排水防涝应急预案并组织落实，督促参建各方认真落实职责。项目建设期间，应严格遵守《城镇排水与污水处理条例》的规定，保护好施工范围内的现有排水设施，涉及管线迁改的项目要做好临时排水措施，确保排水畅通。建设期间，如造成施工区域和关联路段渍水，应迅速启动应急预案，果断采取抢排抢疏和安全保障措施，及时消除路面渍水隐患。</w:t>
      </w:r>
    </w:p>
    <w:p>
      <w:pPr>
        <w:topLinePunct/>
        <w:ind w:firstLine="560"/>
        <w:rPr>
          <w:rFonts w:asciiTheme="minorHAnsi" w:hAnsiTheme="minorHAnsi"/>
          <w:sz w:val="28"/>
          <w:szCs w:val="28"/>
        </w:rPr>
      </w:pPr>
      <w:r>
        <w:rPr>
          <w:rFonts w:hint="eastAsia"/>
          <w:sz w:val="28"/>
          <w:szCs w:val="28"/>
        </w:rPr>
        <w:t>市住建部门要按照管行业必须管安全的原则加强在建工程安全文明施工管理，严防不文明施工而破坏排水设施的行为。市城管部门要跟踪管理在建工程涉及的排水设施情况，通过行政执法等手段制止施工破坏现有排水设施，施工临时排水乱排、散排等行为，并督促整改。</w:t>
      </w:r>
    </w:p>
    <w:p>
      <w:pPr>
        <w:topLinePunct/>
        <w:ind w:firstLine="560"/>
        <w:rPr>
          <w:rFonts w:asciiTheme="minorHAnsi" w:hAnsiTheme="minorHAnsi"/>
        </w:rPr>
      </w:pPr>
      <w:r>
        <w:rPr>
          <w:rFonts w:hint="eastAsia"/>
          <w:sz w:val="28"/>
          <w:szCs w:val="28"/>
        </w:rPr>
        <w:t>各商业楼盘、小区的业主或物业管理机构为各自地下室、地下车库防渍涝工作的责任主体，每年汛前要做好排水设备、动力设备、排水管网、供水设施的检查和维护保养工作，对地下空间的孔洞进行封堵，并制定出现渍涝时的应对措施，保障排涝安全以及供水使用安全。市住建局作为住房和物业管理的行业主管部门，要督促指导相关单位对建筑物地下室、地下车库等重点部位的排水防涝隐患进行排查整改，严防地下车库以及二次供水设施在汛期受淹。</w:t>
      </w:r>
    </w:p>
    <w:p>
      <w:pPr>
        <w:pStyle w:val="4"/>
        <w:topLinePunct/>
        <w:spacing w:before="0" w:after="0" w:line="240" w:lineRule="auto"/>
        <w:ind w:firstLine="0" w:firstLineChars="0"/>
        <w:rPr>
          <w:sz w:val="28"/>
          <w:szCs w:val="28"/>
        </w:rPr>
      </w:pPr>
      <w:bookmarkStart w:id="52" w:name="_Toc134984866"/>
      <w:bookmarkStart w:id="53" w:name="_Toc133666661"/>
      <w:r>
        <w:rPr>
          <w:sz w:val="28"/>
          <w:szCs w:val="28"/>
        </w:rPr>
        <w:t>2</w:t>
      </w:r>
      <w:r>
        <w:rPr>
          <w:rFonts w:hint="eastAsia"/>
          <w:sz w:val="28"/>
          <w:szCs w:val="28"/>
        </w:rPr>
        <w:t>、群众疏散组织</w:t>
      </w:r>
      <w:bookmarkEnd w:id="52"/>
      <w:bookmarkEnd w:id="53"/>
    </w:p>
    <w:p>
      <w:pPr>
        <w:topLinePunct/>
        <w:ind w:firstLine="560"/>
        <w:rPr>
          <w:rFonts w:asciiTheme="minorHAnsi" w:hAnsiTheme="minorHAnsi"/>
          <w:sz w:val="28"/>
          <w:szCs w:val="28"/>
        </w:rPr>
      </w:pPr>
      <w:r>
        <w:rPr>
          <w:rFonts w:hint="eastAsia"/>
          <w:sz w:val="28"/>
          <w:szCs w:val="28"/>
        </w:rPr>
        <w:t>市政府负责人员疏散工作，成立群众疏散领导小组，由市委书记担任组长，党政班子成员任副组长，各部门负责人为成员。负责疏散的工作人员服从指挥人员指挥，保证工作有序开展，做到不惊慌失措，勿混乱、拥挤，减少人员伤亡。</w:t>
      </w:r>
    </w:p>
    <w:p>
      <w:pPr>
        <w:pStyle w:val="4"/>
        <w:topLinePunct/>
        <w:spacing w:before="0" w:after="0" w:line="240" w:lineRule="auto"/>
        <w:ind w:firstLine="0" w:firstLineChars="0"/>
        <w:rPr>
          <w:sz w:val="28"/>
          <w:szCs w:val="28"/>
        </w:rPr>
      </w:pPr>
      <w:bookmarkStart w:id="54" w:name="_Toc133666662"/>
      <w:bookmarkStart w:id="55" w:name="_Toc134984867"/>
      <w:r>
        <w:rPr>
          <w:sz w:val="28"/>
          <w:szCs w:val="28"/>
        </w:rPr>
        <w:t>3</w:t>
      </w:r>
      <w:r>
        <w:rPr>
          <w:rFonts w:hint="eastAsia"/>
          <w:sz w:val="28"/>
          <w:szCs w:val="28"/>
        </w:rPr>
        <w:t>、受灾群众转移和安置</w:t>
      </w:r>
      <w:bookmarkEnd w:id="54"/>
      <w:bookmarkEnd w:id="55"/>
    </w:p>
    <w:p>
      <w:pPr>
        <w:topLinePunct/>
        <w:ind w:firstLine="560"/>
        <w:rPr>
          <w:rFonts w:asciiTheme="minorHAnsi" w:hAnsiTheme="minorHAnsi"/>
          <w:sz w:val="28"/>
          <w:szCs w:val="28"/>
        </w:rPr>
      </w:pPr>
      <w:r>
        <w:rPr>
          <w:rFonts w:hint="eastAsia"/>
          <w:sz w:val="28"/>
          <w:szCs w:val="28"/>
        </w:rPr>
        <w:t>应急、民政、交通、公安等相关部门按照人口转移预案迅速组织群众转移。</w:t>
      </w:r>
    </w:p>
    <w:p>
      <w:pPr>
        <w:topLinePunct/>
        <w:ind w:firstLine="560"/>
        <w:rPr>
          <w:sz w:val="28"/>
          <w:szCs w:val="28"/>
        </w:rPr>
      </w:pPr>
      <w:r>
        <w:rPr>
          <w:rFonts w:hint="eastAsia"/>
          <w:sz w:val="28"/>
          <w:szCs w:val="28"/>
        </w:rPr>
        <w:t>转移的总体原则是先人后物。转移方向主要是基础稳固的楼房高层和政府设立的避难安置点。</w:t>
      </w:r>
    </w:p>
    <w:p>
      <w:pPr>
        <w:topLinePunct/>
        <w:ind w:firstLine="560"/>
        <w:rPr>
          <w:rFonts w:asciiTheme="minorHAnsi" w:hAnsiTheme="minorHAnsi"/>
          <w:sz w:val="28"/>
          <w:szCs w:val="28"/>
        </w:rPr>
      </w:pPr>
      <w:r>
        <w:rPr>
          <w:rFonts w:hint="eastAsia"/>
          <w:sz w:val="28"/>
          <w:szCs w:val="28"/>
        </w:rPr>
        <w:t>遇极端降雨引发山洪灾害时，大冶城区临山的部分街道社区选择就近向安全地带转移。</w:t>
      </w:r>
    </w:p>
    <w:p>
      <w:pPr>
        <w:topLinePunct/>
        <w:ind w:firstLine="560"/>
        <w:rPr>
          <w:rFonts w:asciiTheme="minorHAnsi" w:hAnsiTheme="minorHAnsi"/>
        </w:rPr>
      </w:pPr>
      <w:r>
        <w:rPr>
          <w:rFonts w:hint="eastAsia"/>
          <w:sz w:val="28"/>
          <w:szCs w:val="28"/>
        </w:rPr>
        <w:t>当群众遭受内涝围困时，应及时组织救援人员和冲锋舟、救生船、救生衣、救生圈等器材，确保围困群众的生命安全，政府提供安置生活基本保障。</w:t>
      </w:r>
    </w:p>
    <w:p>
      <w:pPr>
        <w:pStyle w:val="4"/>
        <w:topLinePunct/>
        <w:spacing w:before="0" w:after="0" w:line="240" w:lineRule="auto"/>
        <w:ind w:firstLine="0" w:firstLineChars="0"/>
        <w:rPr>
          <w:sz w:val="28"/>
          <w:szCs w:val="28"/>
        </w:rPr>
      </w:pPr>
      <w:bookmarkStart w:id="56" w:name="_Toc134984868"/>
      <w:bookmarkStart w:id="57" w:name="_Toc133666663"/>
      <w:r>
        <w:rPr>
          <w:sz w:val="28"/>
          <w:szCs w:val="28"/>
        </w:rPr>
        <w:t>4</w:t>
      </w:r>
      <w:r>
        <w:rPr>
          <w:rFonts w:hint="eastAsia"/>
          <w:sz w:val="28"/>
          <w:szCs w:val="28"/>
        </w:rPr>
        <w:t>、在建深基坑范围雨洪与塌方灾害抢险</w:t>
      </w:r>
      <w:bookmarkEnd w:id="56"/>
      <w:bookmarkEnd w:id="57"/>
    </w:p>
    <w:p>
      <w:pPr>
        <w:topLinePunct/>
        <w:ind w:firstLine="560"/>
        <w:rPr>
          <w:sz w:val="28"/>
          <w:szCs w:val="28"/>
        </w:rPr>
      </w:pPr>
      <w:r>
        <w:rPr>
          <w:rFonts w:hint="eastAsia"/>
          <w:sz w:val="28"/>
          <w:szCs w:val="28"/>
        </w:rPr>
        <w:t>在建工程深基坑范围发生雨洪与塌方险情，市住建部门要督促工程建设单位及时组织所有施工人员撤离，立即向市防指汇报，由市防指统一部署抢险方案。如有人员被埋，应急、民政、交通、公安等部门应第一时间组织抢救队伍进行救援，对事故现场采取有效措施，防止事故扩大，加强边坡等危险地带现场进行监控保护，最大限度确保现场人员安全和降低灾害损失。</w:t>
      </w:r>
    </w:p>
    <w:p>
      <w:pPr>
        <w:topLinePunct/>
        <w:ind w:firstLine="0" w:firstLineChars="0"/>
        <w:jc w:val="center"/>
      </w:pPr>
      <w:r>
        <w:rPr>
          <w:rFonts w:hint="eastAsia"/>
          <w:b/>
        </w:rPr>
        <w:t>表3-1</w:t>
      </w:r>
      <w:r>
        <w:rPr>
          <w:b/>
        </w:rPr>
        <w:t xml:space="preserve"> </w:t>
      </w:r>
      <w:r>
        <w:rPr>
          <w:rFonts w:hint="eastAsia"/>
          <w:b/>
        </w:rPr>
        <w:t>排涝设施重点防护对象内涝应急处置措施责任清单表</w:t>
      </w:r>
    </w:p>
    <w:tbl>
      <w:tblPr>
        <w:tblStyle w:val="17"/>
        <w:tblW w:w="5000" w:type="pct"/>
        <w:tblInd w:w="0" w:type="dxa"/>
        <w:tblLayout w:type="autofit"/>
        <w:tblCellMar>
          <w:top w:w="0" w:type="dxa"/>
          <w:left w:w="28" w:type="dxa"/>
          <w:bottom w:w="0" w:type="dxa"/>
          <w:right w:w="28" w:type="dxa"/>
        </w:tblCellMar>
      </w:tblPr>
      <w:tblGrid>
        <w:gridCol w:w="494"/>
        <w:gridCol w:w="1477"/>
        <w:gridCol w:w="2599"/>
        <w:gridCol w:w="1300"/>
        <w:gridCol w:w="2123"/>
        <w:gridCol w:w="1134"/>
      </w:tblGrid>
      <w:tr>
        <w:tblPrEx>
          <w:tblCellMar>
            <w:top w:w="0" w:type="dxa"/>
            <w:left w:w="28" w:type="dxa"/>
            <w:bottom w:w="0" w:type="dxa"/>
            <w:right w:w="28" w:type="dxa"/>
          </w:tblCellMar>
        </w:tblPrEx>
        <w:trPr>
          <w:trHeight w:val="680" w:hRule="atLeast"/>
          <w:tblHeader/>
        </w:trPr>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序号</w:t>
            </w:r>
          </w:p>
        </w:tc>
        <w:tc>
          <w:tcPr>
            <w:tcW w:w="809"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重点</w:t>
            </w:r>
          </w:p>
          <w:p>
            <w:pPr>
              <w:topLinePunct/>
              <w:spacing w:line="240" w:lineRule="auto"/>
              <w:ind w:firstLine="0" w:firstLineChars="0"/>
              <w:jc w:val="center"/>
              <w:rPr>
                <w:sz w:val="18"/>
                <w:szCs w:val="18"/>
              </w:rPr>
            </w:pPr>
            <w:r>
              <w:rPr>
                <w:rFonts w:hint="eastAsia"/>
                <w:sz w:val="18"/>
                <w:szCs w:val="18"/>
              </w:rPr>
              <w:t>防护对象</w:t>
            </w:r>
          </w:p>
        </w:tc>
        <w:tc>
          <w:tcPr>
            <w:tcW w:w="1424"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应急处理措施</w:t>
            </w:r>
          </w:p>
        </w:tc>
        <w:tc>
          <w:tcPr>
            <w:tcW w:w="712"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物资器械</w:t>
            </w:r>
          </w:p>
          <w:p>
            <w:pPr>
              <w:topLinePunct/>
              <w:spacing w:line="240" w:lineRule="auto"/>
              <w:ind w:firstLine="0" w:firstLineChars="0"/>
              <w:jc w:val="center"/>
              <w:rPr>
                <w:sz w:val="18"/>
                <w:szCs w:val="18"/>
              </w:rPr>
            </w:pPr>
            <w:r>
              <w:rPr>
                <w:rFonts w:hint="eastAsia"/>
                <w:sz w:val="18"/>
                <w:szCs w:val="18"/>
              </w:rPr>
              <w:t>储备要求</w:t>
            </w:r>
          </w:p>
        </w:tc>
        <w:tc>
          <w:tcPr>
            <w:tcW w:w="1163"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应急处置</w:t>
            </w:r>
          </w:p>
          <w:p>
            <w:pPr>
              <w:topLinePunct/>
              <w:spacing w:line="240" w:lineRule="auto"/>
              <w:ind w:firstLine="0" w:firstLineChars="0"/>
              <w:jc w:val="center"/>
              <w:rPr>
                <w:sz w:val="18"/>
                <w:szCs w:val="18"/>
              </w:rPr>
            </w:pPr>
            <w:r>
              <w:rPr>
                <w:rFonts w:hint="eastAsia"/>
                <w:sz w:val="18"/>
                <w:szCs w:val="18"/>
              </w:rPr>
              <w:t>责任部门</w:t>
            </w:r>
          </w:p>
        </w:tc>
        <w:tc>
          <w:tcPr>
            <w:tcW w:w="622"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应急处置责任人</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1</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赵保湖排涝泵站</w:t>
            </w:r>
          </w:p>
        </w:tc>
        <w:tc>
          <w:tcPr>
            <w:tcW w:w="1424" w:type="pct"/>
            <w:vMerge w:val="restart"/>
            <w:tcBorders>
              <w:top w:val="nil"/>
              <w:left w:val="nil"/>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加强泵站巡查、值守，实时关注泵站配电设施及水泵运行情况，加强泵站自排闸以及抽排出水闸巡查值守，密切关注泵站来水情况，当无法继续抵御积水上涨时，各应急抢险队第一时间驰援采取措施</w:t>
            </w:r>
          </w:p>
        </w:tc>
        <w:tc>
          <w:tcPr>
            <w:tcW w:w="712" w:type="pct"/>
            <w:vMerge w:val="restart"/>
            <w:tcBorders>
              <w:top w:val="nil"/>
              <w:left w:val="nil"/>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配备应急备用电源、</w:t>
            </w:r>
            <w:r>
              <w:rPr>
                <w:rFonts w:hint="eastAsia"/>
                <w:sz w:val="18"/>
                <w:szCs w:val="18"/>
              </w:rPr>
              <w:t>应急</w:t>
            </w:r>
            <w:r>
              <w:rPr>
                <w:sz w:val="18"/>
                <w:szCs w:val="18"/>
              </w:rPr>
              <w:t>排水泵以及水泵备品备件</w:t>
            </w:r>
            <w:r>
              <w:rPr>
                <w:rFonts w:hint="eastAsia"/>
                <w:sz w:val="18"/>
                <w:szCs w:val="18"/>
              </w:rPr>
              <w:t>、黄土、编织袋、铁锹</w:t>
            </w:r>
            <w:r>
              <w:rPr>
                <w:sz w:val="18"/>
                <w:szCs w:val="18"/>
              </w:rPr>
              <w:t>等</w:t>
            </w: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2</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熊家洲泵站</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3</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三里七排涝站</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4</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鸡冠嘴排涝站</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5</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青龙泵站</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市排水管理处</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处长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6</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尹家湖闸站</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7</w:t>
            </w:r>
          </w:p>
        </w:tc>
        <w:tc>
          <w:tcPr>
            <w:tcW w:w="809" w:type="pct"/>
            <w:tcBorders>
              <w:top w:val="nil"/>
              <w:left w:val="nil"/>
              <w:bottom w:val="single" w:color="auto" w:sz="4" w:space="0"/>
              <w:right w:val="single" w:color="auto" w:sz="4" w:space="0"/>
            </w:tcBorders>
            <w:shd w:val="clear" w:color="auto" w:fill="auto"/>
            <w:vAlign w:val="center"/>
          </w:tcPr>
          <w:p>
            <w:pPr>
              <w:kinsoku w:val="0"/>
              <w:overflowPunct w:val="0"/>
              <w:autoSpaceDE w:val="0"/>
              <w:autoSpaceDN w:val="0"/>
              <w:adjustRightInd w:val="0"/>
              <w:spacing w:line="240" w:lineRule="auto"/>
              <w:ind w:firstLine="0" w:firstLineChars="0"/>
              <w:jc w:val="center"/>
              <w:rPr>
                <w:rFonts w:ascii="宋体" w:cs="宋体"/>
                <w:kern w:val="0"/>
                <w:sz w:val="18"/>
                <w:szCs w:val="18"/>
              </w:rPr>
            </w:pPr>
            <w:r>
              <w:rPr>
                <w:rFonts w:hint="eastAsia" w:ascii="宋体" w:cs="宋体"/>
                <w:kern w:val="0"/>
                <w:sz w:val="18"/>
                <w:szCs w:val="18"/>
              </w:rPr>
              <w:t>青龙</w:t>
            </w:r>
            <w:r>
              <w:rPr>
                <w:rFonts w:hint="eastAsia" w:ascii="宋体" w:cs="宋体"/>
                <w:spacing w:val="-10"/>
                <w:kern w:val="0"/>
                <w:sz w:val="18"/>
                <w:szCs w:val="18"/>
              </w:rPr>
              <w:t>阁排涝</w:t>
            </w:r>
            <w:r>
              <w:rPr>
                <w:rFonts w:hint="eastAsia" w:ascii="宋体" w:cs="宋体"/>
                <w:kern w:val="0"/>
                <w:sz w:val="18"/>
                <w:szCs w:val="18"/>
              </w:rPr>
              <w:t>站</w:t>
            </w:r>
          </w:p>
        </w:tc>
        <w:tc>
          <w:tcPr>
            <w:tcW w:w="1424" w:type="pct"/>
            <w:vMerge w:val="continue"/>
            <w:tcBorders>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市排水管理处</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处长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8</w:t>
            </w:r>
          </w:p>
        </w:tc>
        <w:tc>
          <w:tcPr>
            <w:tcW w:w="80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青龙闸</w:t>
            </w:r>
          </w:p>
        </w:tc>
        <w:tc>
          <w:tcPr>
            <w:tcW w:w="1424" w:type="pct"/>
            <w:vMerge w:val="restart"/>
            <w:tcBorders>
              <w:top w:val="single" w:color="auto" w:sz="4" w:space="0"/>
              <w:left w:val="nil"/>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加强水闸值守，观察大堤安全，记录水位变化情况，如发生管涌、滑坡等现象，管涌口防止涌水带砂，并留有渗水出路的原则，滑坡采取削坡减载、抗滑桩或抛石固脚等抗滑措施，合理分配抢险人员、物资，保障水闸正常运行，</w:t>
            </w:r>
          </w:p>
        </w:tc>
        <w:tc>
          <w:tcPr>
            <w:tcW w:w="712" w:type="pct"/>
            <w:vMerge w:val="restart"/>
            <w:tcBorders>
              <w:top w:val="single" w:color="auto" w:sz="4" w:space="0"/>
              <w:left w:val="nil"/>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配备应急备用电源、水闸备品备件</w:t>
            </w:r>
            <w:r>
              <w:rPr>
                <w:rFonts w:hint="eastAsia"/>
                <w:sz w:val="18"/>
                <w:szCs w:val="18"/>
              </w:rPr>
              <w:t>、黄土、编织袋、铁锹</w:t>
            </w:r>
            <w:r>
              <w:rPr>
                <w:sz w:val="18"/>
                <w:szCs w:val="18"/>
              </w:rPr>
              <w:t>等</w:t>
            </w: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市排水管理处</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处长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9</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三里七排水闸</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10</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三里七老排水闸</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11</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桃花排水闸</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12</w:t>
            </w:r>
          </w:p>
        </w:tc>
        <w:tc>
          <w:tcPr>
            <w:tcW w:w="80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尹家湖排水闸</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13</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熊家洲排水闸</w:t>
            </w:r>
          </w:p>
        </w:tc>
        <w:tc>
          <w:tcPr>
            <w:tcW w:w="1424"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市水利和湖泊局</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副局长</w:t>
            </w:r>
          </w:p>
        </w:tc>
      </w:tr>
      <w:tr>
        <w:tblPrEx>
          <w:tblCellMar>
            <w:top w:w="0" w:type="dxa"/>
            <w:left w:w="28" w:type="dxa"/>
            <w:bottom w:w="0" w:type="dxa"/>
            <w:right w:w="28" w:type="dxa"/>
          </w:tblCellMar>
        </w:tblPrEx>
        <w:trPr>
          <w:trHeight w:val="567"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sz w:val="18"/>
                <w:szCs w:val="18"/>
              </w:rPr>
              <w:t>14</w:t>
            </w:r>
          </w:p>
        </w:tc>
        <w:tc>
          <w:tcPr>
            <w:tcW w:w="80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18"/>
                <w:szCs w:val="18"/>
              </w:rPr>
            </w:pPr>
            <w:r>
              <w:rPr>
                <w:rFonts w:hint="eastAsia"/>
                <w:kern w:val="0"/>
                <w:sz w:val="18"/>
                <w:szCs w:val="18"/>
              </w:rPr>
              <w:t>青龙闸</w:t>
            </w:r>
          </w:p>
        </w:tc>
        <w:tc>
          <w:tcPr>
            <w:tcW w:w="1424" w:type="pct"/>
            <w:vMerge w:val="continue"/>
            <w:tcBorders>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712" w:type="pct"/>
            <w:vMerge w:val="continue"/>
            <w:tcBorders>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p>
        </w:tc>
        <w:tc>
          <w:tcPr>
            <w:tcW w:w="1163"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市排水管理处</w:t>
            </w:r>
          </w:p>
        </w:tc>
        <w:tc>
          <w:tcPr>
            <w:tcW w:w="62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18"/>
                <w:szCs w:val="18"/>
              </w:rPr>
            </w:pPr>
            <w:r>
              <w:rPr>
                <w:rFonts w:hint="eastAsia"/>
                <w:sz w:val="18"/>
                <w:szCs w:val="18"/>
              </w:rPr>
              <w:t>处长</w:t>
            </w:r>
          </w:p>
        </w:tc>
      </w:tr>
    </w:tbl>
    <w:p>
      <w:pPr>
        <w:topLinePunct/>
        <w:ind w:firstLine="0" w:firstLineChars="0"/>
        <w:jc w:val="center"/>
        <w:rPr>
          <w:highlight w:val="yellow"/>
        </w:rPr>
      </w:pPr>
      <w:r>
        <w:rPr>
          <w:rFonts w:hint="eastAsia"/>
          <w:b/>
        </w:rPr>
        <w:t>表</w:t>
      </w:r>
      <w:r>
        <w:rPr>
          <w:b/>
        </w:rPr>
        <w:t xml:space="preserve">3-2 </w:t>
      </w:r>
      <w:r>
        <w:rPr>
          <w:rFonts w:hint="eastAsia"/>
          <w:b/>
        </w:rPr>
        <w:t>生命线工程重点防护对象内涝应急处置措施责任清单表</w:t>
      </w:r>
    </w:p>
    <w:tbl>
      <w:tblPr>
        <w:tblStyle w:val="17"/>
        <w:tblW w:w="5000" w:type="pct"/>
        <w:tblInd w:w="0" w:type="dxa"/>
        <w:tblLayout w:type="autofit"/>
        <w:tblCellMar>
          <w:top w:w="0" w:type="dxa"/>
          <w:left w:w="28" w:type="dxa"/>
          <w:bottom w:w="0" w:type="dxa"/>
          <w:right w:w="28" w:type="dxa"/>
        </w:tblCellMar>
      </w:tblPr>
      <w:tblGrid>
        <w:gridCol w:w="730"/>
        <w:gridCol w:w="1814"/>
        <w:gridCol w:w="2430"/>
        <w:gridCol w:w="1365"/>
        <w:gridCol w:w="1670"/>
        <w:gridCol w:w="1118"/>
      </w:tblGrid>
      <w:tr>
        <w:tblPrEx>
          <w:tblCellMar>
            <w:top w:w="0" w:type="dxa"/>
            <w:left w:w="28" w:type="dxa"/>
            <w:bottom w:w="0" w:type="dxa"/>
            <w:right w:w="28" w:type="dxa"/>
          </w:tblCellMar>
        </w:tblPrEx>
        <w:trPr>
          <w:trHeight w:val="680" w:hRule="atLeast"/>
        </w:trPr>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序号</w:t>
            </w:r>
          </w:p>
        </w:tc>
        <w:tc>
          <w:tcPr>
            <w:tcW w:w="994"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重点防护对象</w:t>
            </w:r>
          </w:p>
        </w:tc>
        <w:tc>
          <w:tcPr>
            <w:tcW w:w="1331"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应急处理措施</w:t>
            </w: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物资器械</w:t>
            </w:r>
          </w:p>
          <w:p>
            <w:pPr>
              <w:topLinePunct/>
              <w:spacing w:line="240" w:lineRule="auto"/>
              <w:ind w:firstLine="0" w:firstLineChars="0"/>
              <w:jc w:val="center"/>
              <w:rPr>
                <w:sz w:val="21"/>
                <w:szCs w:val="21"/>
              </w:rPr>
            </w:pPr>
            <w:r>
              <w:rPr>
                <w:rFonts w:hint="eastAsia"/>
                <w:sz w:val="21"/>
                <w:szCs w:val="21"/>
              </w:rPr>
              <w:t>储备要求</w:t>
            </w:r>
          </w:p>
        </w:tc>
        <w:tc>
          <w:tcPr>
            <w:tcW w:w="91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应急处置</w:t>
            </w:r>
          </w:p>
          <w:p>
            <w:pPr>
              <w:topLinePunct/>
              <w:spacing w:line="240" w:lineRule="auto"/>
              <w:ind w:firstLine="0" w:firstLineChars="0"/>
              <w:jc w:val="center"/>
              <w:rPr>
                <w:sz w:val="21"/>
                <w:szCs w:val="21"/>
              </w:rPr>
            </w:pPr>
            <w:r>
              <w:rPr>
                <w:rFonts w:hint="eastAsia"/>
                <w:sz w:val="21"/>
                <w:szCs w:val="21"/>
              </w:rPr>
              <w:t>责任部门</w:t>
            </w:r>
          </w:p>
        </w:tc>
        <w:tc>
          <w:tcPr>
            <w:tcW w:w="612"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应急处置责任人</w:t>
            </w:r>
          </w:p>
        </w:tc>
      </w:tr>
      <w:tr>
        <w:tblPrEx>
          <w:tblCellMar>
            <w:top w:w="0" w:type="dxa"/>
            <w:left w:w="28" w:type="dxa"/>
            <w:bottom w:w="0" w:type="dxa"/>
            <w:right w:w="28" w:type="dxa"/>
          </w:tblCellMar>
        </w:tblPrEx>
        <w:trPr>
          <w:trHeight w:val="510" w:hRule="atLeast"/>
        </w:trPr>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一</w:t>
            </w:r>
          </w:p>
        </w:tc>
        <w:tc>
          <w:tcPr>
            <w:tcW w:w="994"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供水</w:t>
            </w:r>
          </w:p>
        </w:tc>
        <w:tc>
          <w:tcPr>
            <w:tcW w:w="1331"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748" w:type="pct"/>
            <w:tcBorders>
              <w:top w:val="single" w:color="auto" w:sz="4" w:space="0"/>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91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612"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p>
        </w:tc>
      </w:tr>
      <w:tr>
        <w:tblPrEx>
          <w:tblCellMar>
            <w:top w:w="0" w:type="dxa"/>
            <w:left w:w="28" w:type="dxa"/>
            <w:bottom w:w="0" w:type="dxa"/>
            <w:right w:w="28" w:type="dxa"/>
          </w:tblCellMar>
        </w:tblPrEx>
        <w:trPr>
          <w:trHeight w:val="2268" w:hRule="atLeast"/>
        </w:trPr>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1</w:t>
            </w:r>
          </w:p>
        </w:tc>
        <w:tc>
          <w:tcPr>
            <w:tcW w:w="994"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港湖加压站</w:t>
            </w:r>
          </w:p>
        </w:tc>
        <w:tc>
          <w:tcPr>
            <w:tcW w:w="1331"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rPr>
                <w:sz w:val="21"/>
                <w:szCs w:val="21"/>
              </w:rPr>
            </w:pPr>
            <w:r>
              <w:rPr>
                <w:rFonts w:hint="eastAsia"/>
                <w:sz w:val="21"/>
                <w:szCs w:val="21"/>
              </w:rPr>
              <w:t>配电房、加氯间、泵房等重要构筑物出入口用防洪袋设置挡水墙，如若导致水源污染和供水设施遭受破坏导致无法正常生产时，立即停止供水。</w:t>
            </w:r>
          </w:p>
        </w:tc>
        <w:tc>
          <w:tcPr>
            <w:tcW w:w="748" w:type="pct"/>
            <w:tcBorders>
              <w:top w:val="single" w:color="auto" w:sz="4" w:space="0"/>
              <w:left w:val="nil"/>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配备</w:t>
            </w:r>
            <w:r>
              <w:rPr>
                <w:rFonts w:hint="eastAsia"/>
                <w:sz w:val="21"/>
                <w:szCs w:val="21"/>
              </w:rPr>
              <w:t>应急备用电源</w:t>
            </w:r>
            <w:r>
              <w:rPr>
                <w:sz w:val="21"/>
                <w:szCs w:val="21"/>
              </w:rPr>
              <w:t>、防洪袋、潜水泵等</w:t>
            </w:r>
          </w:p>
        </w:tc>
        <w:tc>
          <w:tcPr>
            <w:tcW w:w="91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市自来水公司</w:t>
            </w:r>
          </w:p>
        </w:tc>
        <w:tc>
          <w:tcPr>
            <w:tcW w:w="612"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副经理</w:t>
            </w:r>
          </w:p>
        </w:tc>
      </w:tr>
      <w:tr>
        <w:tblPrEx>
          <w:tblCellMar>
            <w:top w:w="0" w:type="dxa"/>
            <w:left w:w="28" w:type="dxa"/>
            <w:bottom w:w="0" w:type="dxa"/>
            <w:right w:w="28" w:type="dxa"/>
          </w:tblCellMar>
        </w:tblPrEx>
        <w:trPr>
          <w:trHeight w:val="567" w:hRule="atLeast"/>
        </w:trPr>
        <w:tc>
          <w:tcPr>
            <w:tcW w:w="400"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二</w:t>
            </w:r>
          </w:p>
        </w:tc>
        <w:tc>
          <w:tcPr>
            <w:tcW w:w="994"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供气</w:t>
            </w:r>
          </w:p>
        </w:tc>
        <w:tc>
          <w:tcPr>
            <w:tcW w:w="1331"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91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612" w:type="pct"/>
            <w:tcBorders>
              <w:top w:val="nil"/>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p>
        </w:tc>
      </w:tr>
      <w:tr>
        <w:tblPrEx>
          <w:tblCellMar>
            <w:top w:w="0" w:type="dxa"/>
            <w:left w:w="28" w:type="dxa"/>
            <w:bottom w:w="0" w:type="dxa"/>
            <w:right w:w="28" w:type="dxa"/>
          </w:tblCellMar>
        </w:tblPrEx>
        <w:trPr>
          <w:trHeight w:val="2268" w:hRule="atLeast"/>
        </w:trPr>
        <w:tc>
          <w:tcPr>
            <w:tcW w:w="400" w:type="pct"/>
            <w:tcBorders>
              <w:top w:val="nil"/>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1</w:t>
            </w:r>
          </w:p>
        </w:tc>
        <w:tc>
          <w:tcPr>
            <w:tcW w:w="994"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大冶华润天然气公司</w:t>
            </w:r>
          </w:p>
        </w:tc>
        <w:tc>
          <w:tcPr>
            <w:tcW w:w="1331"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rPr>
                <w:sz w:val="21"/>
                <w:szCs w:val="21"/>
              </w:rPr>
            </w:pPr>
            <w:r>
              <w:rPr>
                <w:rFonts w:hint="eastAsia"/>
                <w:sz w:val="21"/>
                <w:szCs w:val="21"/>
              </w:rPr>
              <w:t>如若站内积水严重，组织人员挖渠排水，对调压箱周围内的积水进行疏导，并在四周搭设围堰，阻止外部积水向里扩散，同时用潜水泵对站内的积水进行疏导和抽排。</w:t>
            </w: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rPr>
                <w:sz w:val="21"/>
                <w:szCs w:val="21"/>
              </w:rPr>
            </w:pPr>
            <w:r>
              <w:rPr>
                <w:sz w:val="21"/>
                <w:szCs w:val="21"/>
              </w:rPr>
              <w:t>配备应急抢修车、临时供气车</w:t>
            </w:r>
            <w:r>
              <w:rPr>
                <w:rFonts w:hint="eastAsia"/>
                <w:sz w:val="21"/>
                <w:szCs w:val="21"/>
              </w:rPr>
              <w:t>，潜水泵</w:t>
            </w:r>
            <w:r>
              <w:rPr>
                <w:sz w:val="21"/>
                <w:szCs w:val="21"/>
              </w:rPr>
              <w:t>等</w:t>
            </w:r>
          </w:p>
        </w:tc>
        <w:tc>
          <w:tcPr>
            <w:tcW w:w="91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大冶华润天然气公司</w:t>
            </w:r>
          </w:p>
        </w:tc>
        <w:tc>
          <w:tcPr>
            <w:tcW w:w="612"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副经理</w:t>
            </w:r>
          </w:p>
        </w:tc>
      </w:tr>
    </w:tbl>
    <w:p>
      <w:pPr>
        <w:topLinePunct/>
        <w:ind w:firstLine="0" w:firstLineChars="0"/>
        <w:jc w:val="center"/>
        <w:rPr>
          <w:b/>
        </w:rPr>
      </w:pPr>
    </w:p>
    <w:p>
      <w:pPr>
        <w:topLinePunct/>
        <w:ind w:firstLine="0" w:firstLineChars="0"/>
        <w:jc w:val="center"/>
        <w:rPr>
          <w:highlight w:val="yellow"/>
        </w:rPr>
      </w:pPr>
      <w:r>
        <w:rPr>
          <w:rFonts w:hint="eastAsia"/>
          <w:b/>
        </w:rPr>
        <w:t>表</w:t>
      </w:r>
      <w:r>
        <w:rPr>
          <w:b/>
        </w:rPr>
        <w:t xml:space="preserve">3-3 </w:t>
      </w:r>
      <w:r>
        <w:rPr>
          <w:rFonts w:hint="eastAsia"/>
          <w:b/>
        </w:rPr>
        <w:t>地下空间重点防护对象内涝应急处置措施责任清单表</w:t>
      </w:r>
    </w:p>
    <w:tbl>
      <w:tblPr>
        <w:tblStyle w:val="17"/>
        <w:tblW w:w="5000" w:type="pct"/>
        <w:tblInd w:w="0" w:type="dxa"/>
        <w:tblLayout w:type="autofit"/>
        <w:tblCellMar>
          <w:top w:w="0" w:type="dxa"/>
          <w:left w:w="28" w:type="dxa"/>
          <w:bottom w:w="0" w:type="dxa"/>
          <w:right w:w="28" w:type="dxa"/>
        </w:tblCellMar>
      </w:tblPr>
      <w:tblGrid>
        <w:gridCol w:w="637"/>
        <w:gridCol w:w="2364"/>
        <w:gridCol w:w="1820"/>
        <w:gridCol w:w="1671"/>
        <w:gridCol w:w="1366"/>
        <w:gridCol w:w="1269"/>
      </w:tblGrid>
      <w:tr>
        <w:tblPrEx>
          <w:tblCellMar>
            <w:top w:w="0" w:type="dxa"/>
            <w:left w:w="28" w:type="dxa"/>
            <w:bottom w:w="0" w:type="dxa"/>
            <w:right w:w="28" w:type="dxa"/>
          </w:tblCellMar>
        </w:tblPrEx>
        <w:trPr>
          <w:trHeight w:val="680" w:hRule="atLeast"/>
        </w:trPr>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序号</w:t>
            </w:r>
          </w:p>
        </w:tc>
        <w:tc>
          <w:tcPr>
            <w:tcW w:w="12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重点防护对象</w:t>
            </w:r>
          </w:p>
        </w:tc>
        <w:tc>
          <w:tcPr>
            <w:tcW w:w="997"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应急处理措施</w:t>
            </w:r>
          </w:p>
        </w:tc>
        <w:tc>
          <w:tcPr>
            <w:tcW w:w="91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物资器械</w:t>
            </w:r>
          </w:p>
          <w:p>
            <w:pPr>
              <w:topLinePunct/>
              <w:spacing w:line="240" w:lineRule="auto"/>
              <w:ind w:firstLine="0" w:firstLineChars="0"/>
              <w:jc w:val="center"/>
              <w:rPr>
                <w:sz w:val="21"/>
                <w:szCs w:val="21"/>
              </w:rPr>
            </w:pPr>
            <w:r>
              <w:rPr>
                <w:rFonts w:hint="eastAsia"/>
                <w:sz w:val="21"/>
                <w:szCs w:val="21"/>
              </w:rPr>
              <w:t>储备要求</w:t>
            </w: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应急处置责任部门</w:t>
            </w:r>
          </w:p>
        </w:tc>
        <w:tc>
          <w:tcPr>
            <w:tcW w:w="6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应急处置责任人</w:t>
            </w:r>
          </w:p>
        </w:tc>
      </w:tr>
      <w:tr>
        <w:tblPrEx>
          <w:tblCellMar>
            <w:top w:w="0" w:type="dxa"/>
            <w:left w:w="28" w:type="dxa"/>
            <w:bottom w:w="0" w:type="dxa"/>
            <w:right w:w="28" w:type="dxa"/>
          </w:tblCellMar>
        </w:tblPrEx>
        <w:trPr>
          <w:trHeight w:val="567" w:hRule="atLeast"/>
        </w:trPr>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1</w:t>
            </w:r>
          </w:p>
        </w:tc>
        <w:tc>
          <w:tcPr>
            <w:tcW w:w="12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大冶大道地下商业街</w:t>
            </w:r>
          </w:p>
        </w:tc>
        <w:tc>
          <w:tcPr>
            <w:tcW w:w="997" w:type="pct"/>
            <w:vMerge w:val="restart"/>
            <w:tcBorders>
              <w:top w:val="single" w:color="auto" w:sz="4" w:space="0"/>
              <w:left w:val="nil"/>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组织人员撤离，入口用挡水板插入槛槽，检查是否有存放危险化学品，用挡水板和沙袋堵住，再用临时排水泵进行排水。</w:t>
            </w:r>
          </w:p>
        </w:tc>
        <w:tc>
          <w:tcPr>
            <w:tcW w:w="915" w:type="pct"/>
            <w:vMerge w:val="restart"/>
            <w:tcBorders>
              <w:top w:val="single" w:color="auto" w:sz="4" w:space="0"/>
              <w:left w:val="nil"/>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配备防水袋、</w:t>
            </w:r>
            <w:r>
              <w:rPr>
                <w:rFonts w:hint="eastAsia"/>
                <w:sz w:val="21"/>
                <w:szCs w:val="21"/>
              </w:rPr>
              <w:t>应急</w:t>
            </w:r>
            <w:r>
              <w:rPr>
                <w:sz w:val="21"/>
                <w:szCs w:val="21"/>
              </w:rPr>
              <w:t>排水泵等</w:t>
            </w: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市住建局</w:t>
            </w:r>
          </w:p>
        </w:tc>
        <w:tc>
          <w:tcPr>
            <w:tcW w:w="6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副局长</w:t>
            </w:r>
          </w:p>
        </w:tc>
      </w:tr>
      <w:tr>
        <w:tblPrEx>
          <w:tblCellMar>
            <w:top w:w="0" w:type="dxa"/>
            <w:left w:w="28" w:type="dxa"/>
            <w:bottom w:w="0" w:type="dxa"/>
            <w:right w:w="28" w:type="dxa"/>
          </w:tblCellMar>
        </w:tblPrEx>
        <w:trPr>
          <w:trHeight w:val="567" w:hRule="atLeast"/>
        </w:trPr>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2</w:t>
            </w:r>
          </w:p>
        </w:tc>
        <w:tc>
          <w:tcPr>
            <w:tcW w:w="12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商会大厦地下停车场</w:t>
            </w:r>
          </w:p>
        </w:tc>
        <w:tc>
          <w:tcPr>
            <w:tcW w:w="997"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915"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市住建局</w:t>
            </w:r>
          </w:p>
        </w:tc>
        <w:tc>
          <w:tcPr>
            <w:tcW w:w="6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副局长</w:t>
            </w:r>
          </w:p>
        </w:tc>
      </w:tr>
      <w:tr>
        <w:tblPrEx>
          <w:tblCellMar>
            <w:top w:w="0" w:type="dxa"/>
            <w:left w:w="28" w:type="dxa"/>
            <w:bottom w:w="0" w:type="dxa"/>
            <w:right w:w="28" w:type="dxa"/>
          </w:tblCellMar>
        </w:tblPrEx>
        <w:trPr>
          <w:trHeight w:val="567" w:hRule="atLeast"/>
        </w:trPr>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3</w:t>
            </w:r>
          </w:p>
        </w:tc>
        <w:tc>
          <w:tcPr>
            <w:tcW w:w="12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铜都广场地下停车场</w:t>
            </w:r>
          </w:p>
        </w:tc>
        <w:tc>
          <w:tcPr>
            <w:tcW w:w="997"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915"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市住建局</w:t>
            </w:r>
          </w:p>
        </w:tc>
        <w:tc>
          <w:tcPr>
            <w:tcW w:w="6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副局长</w:t>
            </w:r>
          </w:p>
        </w:tc>
      </w:tr>
      <w:tr>
        <w:tblPrEx>
          <w:tblCellMar>
            <w:top w:w="0" w:type="dxa"/>
            <w:left w:w="28" w:type="dxa"/>
            <w:bottom w:w="0" w:type="dxa"/>
            <w:right w:w="28" w:type="dxa"/>
          </w:tblCellMar>
        </w:tblPrEx>
        <w:trPr>
          <w:trHeight w:val="567" w:hRule="atLeast"/>
        </w:trPr>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4</w:t>
            </w:r>
          </w:p>
        </w:tc>
        <w:tc>
          <w:tcPr>
            <w:tcW w:w="12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育才华府地下停车场</w:t>
            </w:r>
          </w:p>
        </w:tc>
        <w:tc>
          <w:tcPr>
            <w:tcW w:w="997"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915"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市住建局</w:t>
            </w:r>
          </w:p>
        </w:tc>
        <w:tc>
          <w:tcPr>
            <w:tcW w:w="6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副局长</w:t>
            </w:r>
          </w:p>
        </w:tc>
      </w:tr>
      <w:tr>
        <w:tblPrEx>
          <w:tblCellMar>
            <w:top w:w="0" w:type="dxa"/>
            <w:left w:w="28" w:type="dxa"/>
            <w:bottom w:w="0" w:type="dxa"/>
            <w:right w:w="28" w:type="dxa"/>
          </w:tblCellMar>
        </w:tblPrEx>
        <w:trPr>
          <w:trHeight w:val="567" w:hRule="atLeast"/>
        </w:trPr>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5</w:t>
            </w:r>
          </w:p>
        </w:tc>
        <w:tc>
          <w:tcPr>
            <w:tcW w:w="12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雨润广场地下停车场</w:t>
            </w:r>
          </w:p>
        </w:tc>
        <w:tc>
          <w:tcPr>
            <w:tcW w:w="997"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915"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市住建局</w:t>
            </w:r>
          </w:p>
        </w:tc>
        <w:tc>
          <w:tcPr>
            <w:tcW w:w="6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副局长</w:t>
            </w:r>
          </w:p>
        </w:tc>
      </w:tr>
      <w:tr>
        <w:tblPrEx>
          <w:tblCellMar>
            <w:top w:w="0" w:type="dxa"/>
            <w:left w:w="28" w:type="dxa"/>
            <w:bottom w:w="0" w:type="dxa"/>
            <w:right w:w="28" w:type="dxa"/>
          </w:tblCellMar>
        </w:tblPrEx>
        <w:trPr>
          <w:trHeight w:val="567" w:hRule="atLeast"/>
        </w:trPr>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6</w:t>
            </w:r>
          </w:p>
        </w:tc>
        <w:tc>
          <w:tcPr>
            <w:tcW w:w="12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宏维人家地下商场</w:t>
            </w:r>
          </w:p>
        </w:tc>
        <w:tc>
          <w:tcPr>
            <w:tcW w:w="997"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915" w:type="pct"/>
            <w:vMerge w:val="continue"/>
            <w:tcBorders>
              <w:left w:val="nil"/>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市住建局</w:t>
            </w:r>
          </w:p>
        </w:tc>
        <w:tc>
          <w:tcPr>
            <w:tcW w:w="6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副局长</w:t>
            </w:r>
          </w:p>
        </w:tc>
      </w:tr>
      <w:tr>
        <w:tblPrEx>
          <w:tblCellMar>
            <w:top w:w="0" w:type="dxa"/>
            <w:left w:w="28" w:type="dxa"/>
            <w:bottom w:w="0" w:type="dxa"/>
            <w:right w:w="28" w:type="dxa"/>
          </w:tblCellMar>
        </w:tblPrEx>
        <w:trPr>
          <w:trHeight w:val="567" w:hRule="atLeast"/>
        </w:trPr>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7</w:t>
            </w:r>
          </w:p>
        </w:tc>
        <w:tc>
          <w:tcPr>
            <w:tcW w:w="12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政务中心地下停车场</w:t>
            </w:r>
          </w:p>
        </w:tc>
        <w:tc>
          <w:tcPr>
            <w:tcW w:w="997" w:type="pct"/>
            <w:vMerge w:val="continue"/>
            <w:tcBorders>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915" w:type="pct"/>
            <w:vMerge w:val="continue"/>
            <w:tcBorders>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p>
        </w:tc>
        <w:tc>
          <w:tcPr>
            <w:tcW w:w="748"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rFonts w:hint="eastAsia"/>
                <w:sz w:val="21"/>
                <w:szCs w:val="21"/>
              </w:rPr>
              <w:t>市住建局</w:t>
            </w:r>
          </w:p>
        </w:tc>
        <w:tc>
          <w:tcPr>
            <w:tcW w:w="695" w:type="pct"/>
            <w:tcBorders>
              <w:top w:val="single" w:color="auto" w:sz="4" w:space="0"/>
              <w:left w:val="nil"/>
              <w:bottom w:val="single" w:color="auto" w:sz="4" w:space="0"/>
              <w:right w:val="single" w:color="auto" w:sz="4" w:space="0"/>
            </w:tcBorders>
            <w:shd w:val="clear" w:color="auto" w:fill="auto"/>
            <w:vAlign w:val="center"/>
          </w:tcPr>
          <w:p>
            <w:pPr>
              <w:topLinePunct/>
              <w:spacing w:line="240" w:lineRule="auto"/>
              <w:ind w:firstLine="0" w:firstLineChars="0"/>
              <w:jc w:val="center"/>
              <w:rPr>
                <w:sz w:val="21"/>
                <w:szCs w:val="21"/>
              </w:rPr>
            </w:pPr>
            <w:r>
              <w:rPr>
                <w:sz w:val="21"/>
                <w:szCs w:val="21"/>
              </w:rPr>
              <w:t>副局长</w:t>
            </w:r>
          </w:p>
        </w:tc>
      </w:tr>
    </w:tbl>
    <w:p>
      <w:pPr>
        <w:topLinePunct/>
        <w:ind w:firstLine="0" w:firstLineChars="0"/>
        <w:jc w:val="center"/>
        <w:rPr>
          <w:b/>
        </w:rPr>
      </w:pPr>
    </w:p>
    <w:p>
      <w:pPr>
        <w:topLinePunct/>
        <w:ind w:firstLine="0" w:firstLineChars="0"/>
        <w:jc w:val="center"/>
        <w:rPr>
          <w:b/>
        </w:rPr>
      </w:pPr>
    </w:p>
    <w:p>
      <w:pPr>
        <w:topLinePunct/>
        <w:ind w:firstLine="0" w:firstLineChars="0"/>
        <w:jc w:val="center"/>
        <w:rPr>
          <w:b/>
        </w:rPr>
      </w:pPr>
    </w:p>
    <w:p>
      <w:pPr>
        <w:topLinePunct/>
        <w:ind w:firstLine="0" w:firstLineChars="0"/>
        <w:jc w:val="center"/>
        <w:rPr>
          <w:rFonts w:asciiTheme="minorHAnsi" w:hAnsiTheme="minorHAnsi"/>
          <w:highlight w:val="yellow"/>
        </w:rPr>
      </w:pPr>
      <w:r>
        <w:rPr>
          <w:rFonts w:hint="eastAsia"/>
          <w:b/>
        </w:rPr>
        <w:t>表</w:t>
      </w:r>
      <w:r>
        <w:rPr>
          <w:b/>
        </w:rPr>
        <w:t xml:space="preserve">3-4 </w:t>
      </w:r>
      <w:r>
        <w:rPr>
          <w:rFonts w:hint="eastAsia"/>
          <w:b/>
        </w:rPr>
        <w:t>人员密集场所重点防护对象内涝应急处置措施责任清单表</w:t>
      </w:r>
    </w:p>
    <w:tbl>
      <w:tblPr>
        <w:tblStyle w:val="17"/>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3"/>
        <w:gridCol w:w="2253"/>
        <w:gridCol w:w="2197"/>
        <w:gridCol w:w="2053"/>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blHeader/>
        </w:trPr>
        <w:tc>
          <w:tcPr>
            <w:tcW w:w="337" w:type="pct"/>
            <w:shd w:val="clear" w:color="auto" w:fill="auto"/>
            <w:vAlign w:val="center"/>
          </w:tcPr>
          <w:p>
            <w:pPr>
              <w:topLinePunct/>
              <w:spacing w:line="240" w:lineRule="auto"/>
              <w:ind w:firstLine="0" w:firstLineChars="0"/>
              <w:jc w:val="center"/>
              <w:rPr>
                <w:sz w:val="18"/>
                <w:szCs w:val="18"/>
              </w:rPr>
            </w:pPr>
            <w:r>
              <w:rPr>
                <w:rFonts w:hint="eastAsia"/>
                <w:sz w:val="18"/>
                <w:szCs w:val="18"/>
              </w:rPr>
              <w:t>序号</w:t>
            </w:r>
          </w:p>
        </w:tc>
        <w:tc>
          <w:tcPr>
            <w:tcW w:w="1238" w:type="pct"/>
            <w:shd w:val="clear" w:color="auto" w:fill="auto"/>
            <w:vAlign w:val="center"/>
          </w:tcPr>
          <w:p>
            <w:pPr>
              <w:topLinePunct/>
              <w:spacing w:line="240" w:lineRule="auto"/>
              <w:ind w:firstLine="0" w:firstLineChars="0"/>
              <w:jc w:val="center"/>
              <w:rPr>
                <w:sz w:val="18"/>
                <w:szCs w:val="18"/>
              </w:rPr>
            </w:pPr>
            <w:r>
              <w:rPr>
                <w:rFonts w:hint="eastAsia"/>
                <w:sz w:val="18"/>
                <w:szCs w:val="18"/>
              </w:rPr>
              <w:t>重点防护对象</w:t>
            </w:r>
          </w:p>
        </w:tc>
        <w:tc>
          <w:tcPr>
            <w:tcW w:w="1207" w:type="pct"/>
            <w:shd w:val="clear" w:color="auto" w:fill="auto"/>
            <w:vAlign w:val="center"/>
          </w:tcPr>
          <w:p>
            <w:pPr>
              <w:topLinePunct/>
              <w:spacing w:line="240" w:lineRule="auto"/>
              <w:ind w:firstLine="0" w:firstLineChars="0"/>
              <w:jc w:val="center"/>
              <w:rPr>
                <w:sz w:val="18"/>
                <w:szCs w:val="18"/>
              </w:rPr>
            </w:pPr>
            <w:r>
              <w:rPr>
                <w:rFonts w:hint="eastAsia"/>
                <w:sz w:val="18"/>
                <w:szCs w:val="18"/>
              </w:rPr>
              <w:t>应急处理措施</w:t>
            </w:r>
          </w:p>
        </w:tc>
        <w:tc>
          <w:tcPr>
            <w:tcW w:w="1128" w:type="pct"/>
            <w:shd w:val="clear" w:color="auto" w:fill="auto"/>
            <w:vAlign w:val="center"/>
          </w:tcPr>
          <w:p>
            <w:pPr>
              <w:topLinePunct/>
              <w:spacing w:line="240" w:lineRule="auto"/>
              <w:ind w:firstLine="0" w:firstLineChars="0"/>
              <w:jc w:val="center"/>
              <w:rPr>
                <w:sz w:val="18"/>
                <w:szCs w:val="18"/>
              </w:rPr>
            </w:pPr>
            <w:r>
              <w:rPr>
                <w:rFonts w:hint="eastAsia"/>
                <w:sz w:val="18"/>
                <w:szCs w:val="18"/>
              </w:rPr>
              <w:t>物资器械</w:t>
            </w:r>
          </w:p>
          <w:p>
            <w:pPr>
              <w:topLinePunct/>
              <w:spacing w:line="240" w:lineRule="auto"/>
              <w:ind w:firstLine="0" w:firstLineChars="0"/>
              <w:jc w:val="center"/>
              <w:rPr>
                <w:sz w:val="18"/>
                <w:szCs w:val="18"/>
              </w:rPr>
            </w:pPr>
            <w:r>
              <w:rPr>
                <w:rFonts w:hint="eastAsia"/>
                <w:sz w:val="18"/>
                <w:szCs w:val="18"/>
              </w:rPr>
              <w:t>储备要求</w:t>
            </w:r>
          </w:p>
        </w:tc>
        <w:tc>
          <w:tcPr>
            <w:tcW w:w="545" w:type="pct"/>
            <w:shd w:val="clear" w:color="auto" w:fill="auto"/>
            <w:vAlign w:val="center"/>
          </w:tcPr>
          <w:p>
            <w:pPr>
              <w:topLinePunct/>
              <w:spacing w:line="240" w:lineRule="auto"/>
              <w:ind w:firstLine="0" w:firstLineChars="0"/>
              <w:jc w:val="center"/>
              <w:rPr>
                <w:sz w:val="18"/>
                <w:szCs w:val="18"/>
              </w:rPr>
            </w:pPr>
            <w:r>
              <w:rPr>
                <w:rFonts w:hint="eastAsia"/>
                <w:sz w:val="18"/>
                <w:szCs w:val="18"/>
              </w:rPr>
              <w:t>应急处置</w:t>
            </w:r>
          </w:p>
          <w:p>
            <w:pPr>
              <w:topLinePunct/>
              <w:spacing w:line="240" w:lineRule="auto"/>
              <w:ind w:firstLine="0" w:firstLineChars="0"/>
              <w:jc w:val="center"/>
              <w:rPr>
                <w:sz w:val="18"/>
                <w:szCs w:val="18"/>
              </w:rPr>
            </w:pPr>
            <w:r>
              <w:rPr>
                <w:rFonts w:hint="eastAsia"/>
                <w:sz w:val="18"/>
                <w:szCs w:val="18"/>
              </w:rPr>
              <w:t>责任部门</w:t>
            </w:r>
          </w:p>
        </w:tc>
        <w:tc>
          <w:tcPr>
            <w:tcW w:w="545" w:type="pct"/>
            <w:shd w:val="clear" w:color="auto" w:fill="auto"/>
            <w:vAlign w:val="center"/>
          </w:tcPr>
          <w:p>
            <w:pPr>
              <w:topLinePunct/>
              <w:spacing w:line="240" w:lineRule="auto"/>
              <w:ind w:firstLine="0" w:firstLineChars="0"/>
              <w:jc w:val="center"/>
              <w:rPr>
                <w:sz w:val="18"/>
                <w:szCs w:val="18"/>
              </w:rPr>
            </w:pPr>
            <w:r>
              <w:rPr>
                <w:rFonts w:hint="eastAsia"/>
                <w:sz w:val="18"/>
                <w:szCs w:val="18"/>
              </w:rPr>
              <w:t>应急处置</w:t>
            </w:r>
          </w:p>
          <w:p>
            <w:pPr>
              <w:topLinePunct/>
              <w:spacing w:line="240" w:lineRule="auto"/>
              <w:ind w:firstLine="0" w:firstLineChars="0"/>
              <w:jc w:val="center"/>
              <w:rPr>
                <w:sz w:val="18"/>
                <w:szCs w:val="18"/>
              </w:rPr>
            </w:pPr>
            <w:r>
              <w:rPr>
                <w:rFonts w:hint="eastAsia"/>
                <w:sz w:val="18"/>
                <w:szCs w:val="18"/>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8" w:hRule="atLeast"/>
        </w:trPr>
        <w:tc>
          <w:tcPr>
            <w:tcW w:w="337" w:type="pct"/>
            <w:shd w:val="clear" w:color="auto" w:fill="auto"/>
            <w:vAlign w:val="center"/>
          </w:tcPr>
          <w:p>
            <w:pPr>
              <w:topLinePunct/>
              <w:spacing w:line="240" w:lineRule="auto"/>
              <w:ind w:firstLine="0" w:firstLineChars="0"/>
              <w:jc w:val="center"/>
              <w:rPr>
                <w:sz w:val="18"/>
                <w:szCs w:val="18"/>
              </w:rPr>
            </w:pPr>
            <w:r>
              <w:rPr>
                <w:sz w:val="18"/>
                <w:szCs w:val="18"/>
              </w:rPr>
              <w:t>1</w:t>
            </w:r>
          </w:p>
        </w:tc>
        <w:tc>
          <w:tcPr>
            <w:tcW w:w="1238" w:type="pct"/>
            <w:shd w:val="clear" w:color="auto" w:fill="auto"/>
            <w:vAlign w:val="center"/>
          </w:tcPr>
          <w:p>
            <w:pPr>
              <w:topLinePunct/>
              <w:spacing w:line="240" w:lineRule="auto"/>
              <w:ind w:firstLine="0" w:firstLineChars="0"/>
              <w:jc w:val="center"/>
              <w:rPr>
                <w:rFonts w:eastAsia="宋体"/>
                <w:sz w:val="18"/>
                <w:szCs w:val="18"/>
              </w:rPr>
            </w:pPr>
            <w:r>
              <w:rPr>
                <w:rFonts w:hint="eastAsia" w:eastAsia="宋体" w:cs="宋体"/>
                <w:kern w:val="0"/>
                <w:sz w:val="18"/>
                <w:szCs w:val="18"/>
              </w:rPr>
              <w:t>大冶中等专业学校</w:t>
            </w:r>
          </w:p>
        </w:tc>
        <w:tc>
          <w:tcPr>
            <w:tcW w:w="1207" w:type="pct"/>
            <w:vMerge w:val="restart"/>
            <w:shd w:val="clear" w:color="auto" w:fill="auto"/>
            <w:vAlign w:val="center"/>
          </w:tcPr>
          <w:p>
            <w:pPr>
              <w:topLinePunct/>
              <w:spacing w:line="240" w:lineRule="auto"/>
              <w:ind w:firstLine="0" w:firstLineChars="0"/>
              <w:rPr>
                <w:sz w:val="18"/>
                <w:szCs w:val="18"/>
              </w:rPr>
            </w:pPr>
            <w:r>
              <w:rPr>
                <w:rFonts w:hint="eastAsia"/>
                <w:sz w:val="18"/>
                <w:szCs w:val="18"/>
              </w:rPr>
              <w:t>发布有关消息和警报，封堵、关闭危险场所，停止各项活动，组织仍滞留在危险地带的人员撤离到安全区域，迅速关闭、切断输电系统和各种明火，加强对重要设备、重要物品、易燃易爆物品、有毒有害化学品的救护和保护管理，迅速展开现场救护工作，及时将受伤人员转移并送至附近救护站，加强校园值班和巡逻，防止各类犯罪活动，安排他们的学习、生活，协助有关部门做好食品、饮水、衣物等救灾物资的调集和发放工作，做好广大师生宣传教育工作，消除恐慌心理，及时汇报主管部门</w:t>
            </w:r>
          </w:p>
        </w:tc>
        <w:tc>
          <w:tcPr>
            <w:tcW w:w="1128" w:type="pct"/>
            <w:vMerge w:val="restart"/>
            <w:shd w:val="clear" w:color="auto" w:fill="auto"/>
            <w:vAlign w:val="center"/>
          </w:tcPr>
          <w:p>
            <w:pPr>
              <w:topLinePunct/>
              <w:spacing w:line="240" w:lineRule="auto"/>
              <w:ind w:firstLine="0" w:firstLineChars="0"/>
              <w:jc w:val="center"/>
              <w:rPr>
                <w:sz w:val="18"/>
                <w:szCs w:val="18"/>
              </w:rPr>
            </w:pPr>
            <w:r>
              <w:rPr>
                <w:sz w:val="18"/>
                <w:szCs w:val="18"/>
              </w:rPr>
              <w:t>配备</w:t>
            </w:r>
            <w:r>
              <w:rPr>
                <w:rFonts w:hint="eastAsia"/>
                <w:sz w:val="18"/>
                <w:szCs w:val="18"/>
              </w:rPr>
              <w:t>应急</w:t>
            </w:r>
            <w:r>
              <w:rPr>
                <w:sz w:val="18"/>
                <w:szCs w:val="18"/>
              </w:rPr>
              <w:t>运输车辆</w:t>
            </w:r>
            <w:r>
              <w:rPr>
                <w:rFonts w:hint="eastAsia"/>
                <w:sz w:val="18"/>
                <w:szCs w:val="18"/>
              </w:rPr>
              <w:t>，应急</w:t>
            </w:r>
            <w:r>
              <w:rPr>
                <w:sz w:val="18"/>
                <w:szCs w:val="18"/>
              </w:rPr>
              <w:t>排水泵</w:t>
            </w:r>
            <w:r>
              <w:rPr>
                <w:rFonts w:hint="eastAsia"/>
                <w:sz w:val="18"/>
                <w:szCs w:val="18"/>
              </w:rPr>
              <w:t>，</w:t>
            </w:r>
            <w:r>
              <w:rPr>
                <w:sz w:val="18"/>
                <w:szCs w:val="18"/>
              </w:rPr>
              <w:t>备用电源、防洪袋</w:t>
            </w:r>
            <w:r>
              <w:rPr>
                <w:rFonts w:hint="eastAsia"/>
                <w:sz w:val="18"/>
                <w:szCs w:val="18"/>
              </w:rPr>
              <w:t>等</w:t>
            </w:r>
          </w:p>
        </w:tc>
        <w:tc>
          <w:tcPr>
            <w:tcW w:w="545" w:type="pct"/>
            <w:shd w:val="clear" w:color="auto" w:fill="auto"/>
            <w:vAlign w:val="center"/>
          </w:tcPr>
          <w:p>
            <w:pPr>
              <w:topLinePunct/>
              <w:spacing w:line="240" w:lineRule="auto"/>
              <w:ind w:firstLine="0" w:firstLineChars="0"/>
              <w:jc w:val="center"/>
              <w:rPr>
                <w:sz w:val="18"/>
                <w:szCs w:val="18"/>
              </w:rPr>
            </w:pPr>
            <w:r>
              <w:rPr>
                <w:rFonts w:hint="eastAsia"/>
                <w:sz w:val="18"/>
                <w:szCs w:val="18"/>
              </w:rPr>
              <w:t>市教育局</w:t>
            </w:r>
          </w:p>
        </w:tc>
        <w:tc>
          <w:tcPr>
            <w:tcW w:w="545" w:type="pct"/>
            <w:shd w:val="clear" w:color="auto" w:fill="auto"/>
            <w:vAlign w:val="center"/>
          </w:tcPr>
          <w:p>
            <w:pPr>
              <w:topLinePunct/>
              <w:spacing w:line="240" w:lineRule="auto"/>
              <w:ind w:firstLine="0" w:firstLineChars="0"/>
              <w:jc w:val="center"/>
              <w:rPr>
                <w:sz w:val="18"/>
                <w:szCs w:val="18"/>
              </w:rPr>
            </w:pPr>
            <w:r>
              <w:rPr>
                <w:rFonts w:hint="eastAsia"/>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8" w:hRule="atLeast"/>
        </w:trPr>
        <w:tc>
          <w:tcPr>
            <w:tcW w:w="337" w:type="pct"/>
            <w:shd w:val="clear" w:color="auto" w:fill="auto"/>
            <w:vAlign w:val="center"/>
          </w:tcPr>
          <w:p>
            <w:pPr>
              <w:topLinePunct/>
              <w:spacing w:line="240" w:lineRule="auto"/>
              <w:ind w:firstLine="0" w:firstLineChars="0"/>
              <w:jc w:val="center"/>
              <w:rPr>
                <w:sz w:val="18"/>
                <w:szCs w:val="18"/>
              </w:rPr>
            </w:pPr>
            <w:r>
              <w:rPr>
                <w:sz w:val="18"/>
                <w:szCs w:val="18"/>
              </w:rPr>
              <w:t>2</w:t>
            </w:r>
          </w:p>
        </w:tc>
        <w:tc>
          <w:tcPr>
            <w:tcW w:w="1238" w:type="pct"/>
            <w:shd w:val="clear" w:color="auto" w:fill="auto"/>
            <w:vAlign w:val="center"/>
          </w:tcPr>
          <w:p>
            <w:pPr>
              <w:topLinePunct/>
              <w:spacing w:line="240" w:lineRule="auto"/>
              <w:ind w:firstLine="0" w:firstLineChars="0"/>
              <w:jc w:val="center"/>
              <w:rPr>
                <w:rFonts w:eastAsia="宋体"/>
                <w:sz w:val="18"/>
                <w:szCs w:val="18"/>
              </w:rPr>
            </w:pPr>
            <w:r>
              <w:rPr>
                <w:rFonts w:hint="eastAsia" w:eastAsia="宋体" w:cs="宋体"/>
                <w:kern w:val="0"/>
                <w:sz w:val="18"/>
                <w:szCs w:val="18"/>
              </w:rPr>
              <w:t>大冶市远航职业技术学校</w:t>
            </w:r>
          </w:p>
        </w:tc>
        <w:tc>
          <w:tcPr>
            <w:tcW w:w="1207" w:type="pct"/>
            <w:vMerge w:val="continue"/>
            <w:shd w:val="clear" w:color="auto" w:fill="auto"/>
            <w:vAlign w:val="center"/>
          </w:tcPr>
          <w:p>
            <w:pPr>
              <w:topLinePunct/>
              <w:spacing w:line="240" w:lineRule="auto"/>
              <w:ind w:firstLine="0" w:firstLineChars="0"/>
              <w:jc w:val="center"/>
              <w:rPr>
                <w:sz w:val="18"/>
                <w:szCs w:val="18"/>
              </w:rPr>
            </w:pPr>
          </w:p>
        </w:tc>
        <w:tc>
          <w:tcPr>
            <w:tcW w:w="1128" w:type="pct"/>
            <w:vMerge w:val="continue"/>
            <w:shd w:val="clear" w:color="auto" w:fill="auto"/>
            <w:vAlign w:val="center"/>
          </w:tcPr>
          <w:p>
            <w:pPr>
              <w:topLinePunct/>
              <w:spacing w:line="240" w:lineRule="auto"/>
              <w:ind w:firstLine="0" w:firstLineChars="0"/>
              <w:jc w:val="center"/>
              <w:rPr>
                <w:sz w:val="18"/>
                <w:szCs w:val="18"/>
              </w:rPr>
            </w:pPr>
          </w:p>
        </w:tc>
        <w:tc>
          <w:tcPr>
            <w:tcW w:w="545" w:type="pct"/>
            <w:shd w:val="clear" w:color="auto" w:fill="auto"/>
            <w:vAlign w:val="center"/>
          </w:tcPr>
          <w:p>
            <w:pPr>
              <w:topLinePunct/>
              <w:spacing w:line="240" w:lineRule="auto"/>
              <w:ind w:firstLine="0" w:firstLineChars="0"/>
              <w:jc w:val="center"/>
              <w:rPr>
                <w:sz w:val="18"/>
                <w:szCs w:val="18"/>
              </w:rPr>
            </w:pPr>
            <w:r>
              <w:rPr>
                <w:rFonts w:hint="eastAsia"/>
                <w:sz w:val="18"/>
                <w:szCs w:val="18"/>
              </w:rPr>
              <w:t>市教育局</w:t>
            </w:r>
          </w:p>
        </w:tc>
        <w:tc>
          <w:tcPr>
            <w:tcW w:w="545" w:type="pct"/>
            <w:shd w:val="clear" w:color="auto" w:fill="auto"/>
            <w:vAlign w:val="center"/>
          </w:tcPr>
          <w:p>
            <w:pPr>
              <w:topLinePunct/>
              <w:spacing w:line="240" w:lineRule="auto"/>
              <w:ind w:firstLine="0" w:firstLineChars="0"/>
              <w:jc w:val="center"/>
              <w:rPr>
                <w:sz w:val="18"/>
                <w:szCs w:val="18"/>
              </w:rPr>
            </w:pPr>
            <w:r>
              <w:rPr>
                <w:rFonts w:hint="eastAsia"/>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8" w:hRule="atLeast"/>
        </w:trPr>
        <w:tc>
          <w:tcPr>
            <w:tcW w:w="337" w:type="pct"/>
            <w:shd w:val="clear" w:color="auto" w:fill="auto"/>
            <w:vAlign w:val="center"/>
          </w:tcPr>
          <w:p>
            <w:pPr>
              <w:topLinePunct/>
              <w:spacing w:line="240" w:lineRule="auto"/>
              <w:ind w:firstLine="0" w:firstLineChars="0"/>
              <w:jc w:val="center"/>
              <w:rPr>
                <w:sz w:val="18"/>
                <w:szCs w:val="18"/>
              </w:rPr>
            </w:pPr>
            <w:r>
              <w:rPr>
                <w:sz w:val="18"/>
                <w:szCs w:val="18"/>
              </w:rPr>
              <w:t>3</w:t>
            </w:r>
          </w:p>
        </w:tc>
        <w:tc>
          <w:tcPr>
            <w:tcW w:w="1238" w:type="pct"/>
            <w:shd w:val="clear" w:color="auto" w:fill="auto"/>
            <w:vAlign w:val="center"/>
          </w:tcPr>
          <w:p>
            <w:pPr>
              <w:topLinePunct/>
              <w:spacing w:line="240" w:lineRule="auto"/>
              <w:ind w:firstLine="0" w:firstLineChars="0"/>
              <w:jc w:val="center"/>
              <w:rPr>
                <w:rFonts w:eastAsia="宋体"/>
                <w:sz w:val="18"/>
                <w:szCs w:val="18"/>
              </w:rPr>
            </w:pPr>
            <w:r>
              <w:rPr>
                <w:rFonts w:hint="eastAsia" w:eastAsia="宋体" w:cs="宋体"/>
                <w:kern w:val="0"/>
                <w:sz w:val="18"/>
                <w:szCs w:val="18"/>
              </w:rPr>
              <w:t>大冶市职业技术学校</w:t>
            </w:r>
          </w:p>
        </w:tc>
        <w:tc>
          <w:tcPr>
            <w:tcW w:w="1207" w:type="pct"/>
            <w:vMerge w:val="continue"/>
            <w:shd w:val="clear" w:color="auto" w:fill="auto"/>
            <w:vAlign w:val="center"/>
          </w:tcPr>
          <w:p>
            <w:pPr>
              <w:topLinePunct/>
              <w:spacing w:line="240" w:lineRule="auto"/>
              <w:ind w:firstLine="0" w:firstLineChars="0"/>
              <w:jc w:val="center"/>
              <w:rPr>
                <w:sz w:val="18"/>
                <w:szCs w:val="18"/>
              </w:rPr>
            </w:pPr>
          </w:p>
        </w:tc>
        <w:tc>
          <w:tcPr>
            <w:tcW w:w="1128" w:type="pct"/>
            <w:vMerge w:val="continue"/>
            <w:shd w:val="clear" w:color="auto" w:fill="auto"/>
            <w:vAlign w:val="center"/>
          </w:tcPr>
          <w:p>
            <w:pPr>
              <w:topLinePunct/>
              <w:spacing w:line="240" w:lineRule="auto"/>
              <w:ind w:firstLine="0" w:firstLineChars="0"/>
              <w:jc w:val="center"/>
              <w:rPr>
                <w:sz w:val="18"/>
                <w:szCs w:val="18"/>
              </w:rPr>
            </w:pPr>
          </w:p>
        </w:tc>
        <w:tc>
          <w:tcPr>
            <w:tcW w:w="545" w:type="pct"/>
            <w:shd w:val="clear" w:color="auto" w:fill="auto"/>
            <w:vAlign w:val="center"/>
          </w:tcPr>
          <w:p>
            <w:pPr>
              <w:topLinePunct/>
              <w:spacing w:line="240" w:lineRule="auto"/>
              <w:ind w:firstLine="0" w:firstLineChars="0"/>
              <w:jc w:val="center"/>
              <w:rPr>
                <w:sz w:val="18"/>
                <w:szCs w:val="18"/>
              </w:rPr>
            </w:pPr>
            <w:r>
              <w:rPr>
                <w:rFonts w:hint="eastAsia"/>
                <w:sz w:val="18"/>
                <w:szCs w:val="18"/>
              </w:rPr>
              <w:t>市教育局</w:t>
            </w:r>
          </w:p>
        </w:tc>
        <w:tc>
          <w:tcPr>
            <w:tcW w:w="545" w:type="pct"/>
            <w:shd w:val="clear" w:color="auto" w:fill="auto"/>
            <w:vAlign w:val="center"/>
          </w:tcPr>
          <w:p>
            <w:pPr>
              <w:topLinePunct/>
              <w:spacing w:line="240" w:lineRule="auto"/>
              <w:ind w:firstLine="0" w:firstLineChars="0"/>
              <w:jc w:val="center"/>
              <w:rPr>
                <w:sz w:val="18"/>
                <w:szCs w:val="18"/>
              </w:rPr>
            </w:pPr>
            <w:r>
              <w:rPr>
                <w:rFonts w:hint="eastAsia"/>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4</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大冶市第一中学</w:t>
            </w:r>
          </w:p>
        </w:tc>
        <w:tc>
          <w:tcPr>
            <w:tcW w:w="1207" w:type="pct"/>
            <w:vMerge w:val="restart"/>
            <w:shd w:val="clear" w:color="auto" w:fill="auto"/>
            <w:vAlign w:val="center"/>
          </w:tcPr>
          <w:p>
            <w:pPr>
              <w:topLinePunct/>
              <w:spacing w:line="240" w:lineRule="auto"/>
              <w:ind w:firstLine="0" w:firstLineChars="0"/>
              <w:rPr>
                <w:rFonts w:ascii="宋体" w:hAnsi="宋体" w:eastAsia="宋体"/>
                <w:sz w:val="18"/>
                <w:szCs w:val="18"/>
              </w:rPr>
            </w:pPr>
            <w:r>
              <w:rPr>
                <w:rFonts w:hint="eastAsia" w:ascii="宋体" w:hAnsi="宋体" w:eastAsia="宋体"/>
                <w:sz w:val="18"/>
                <w:szCs w:val="18"/>
              </w:rPr>
              <w:t>发布有关消息和警报，封堵、关闭危险场所，停止各项活动，组织仍滞留在危险地带的人员撤离到安全区域，做好避险看护工作。视情况可提前放学或者停课，此时遇险情学生在没家长接送和老师看护下，不能单独离校，并及时向有关部门报告，确保无人员伤亡。迅速关闭、切断输电系统和各种明火，加强对重要设备、重要物品、易燃易爆物品、有毒有害化学品的救护和保护管理，迅速展开现场救护工作，及时将受伤人员转移并送至附近救护站</w:t>
            </w:r>
          </w:p>
        </w:tc>
        <w:tc>
          <w:tcPr>
            <w:tcW w:w="1128" w:type="pct"/>
            <w:vMerge w:val="restart"/>
            <w:shd w:val="clear" w:color="auto" w:fill="auto"/>
            <w:vAlign w:val="center"/>
          </w:tcPr>
          <w:p>
            <w:pPr>
              <w:topLinePunct/>
              <w:spacing w:line="240" w:lineRule="auto"/>
              <w:ind w:firstLine="0" w:firstLineChars="0"/>
              <w:rPr>
                <w:rFonts w:ascii="宋体" w:hAnsi="宋体" w:eastAsia="宋体"/>
                <w:sz w:val="18"/>
                <w:szCs w:val="18"/>
              </w:rPr>
            </w:pPr>
            <w:r>
              <w:rPr>
                <w:rFonts w:ascii="宋体" w:hAnsi="宋体" w:eastAsia="宋体"/>
                <w:sz w:val="18"/>
                <w:szCs w:val="18"/>
              </w:rPr>
              <w:t>配备</w:t>
            </w:r>
            <w:r>
              <w:rPr>
                <w:rFonts w:hint="eastAsia" w:ascii="宋体" w:hAnsi="宋体" w:eastAsia="宋体"/>
                <w:sz w:val="18"/>
                <w:szCs w:val="18"/>
              </w:rPr>
              <w:t>应急</w:t>
            </w:r>
            <w:r>
              <w:rPr>
                <w:rFonts w:ascii="宋体" w:hAnsi="宋体" w:eastAsia="宋体"/>
                <w:sz w:val="18"/>
                <w:szCs w:val="18"/>
              </w:rPr>
              <w:t>运输车辆</w:t>
            </w:r>
            <w:r>
              <w:rPr>
                <w:rFonts w:hint="eastAsia" w:ascii="宋体" w:hAnsi="宋体" w:eastAsia="宋体"/>
                <w:sz w:val="18"/>
                <w:szCs w:val="18"/>
              </w:rPr>
              <w:t>，应急</w:t>
            </w:r>
            <w:r>
              <w:rPr>
                <w:rFonts w:ascii="宋体" w:hAnsi="宋体" w:eastAsia="宋体"/>
                <w:sz w:val="18"/>
                <w:szCs w:val="18"/>
              </w:rPr>
              <w:t>排水泵</w:t>
            </w:r>
            <w:r>
              <w:rPr>
                <w:rFonts w:hint="eastAsia" w:ascii="宋体" w:hAnsi="宋体" w:eastAsia="宋体"/>
                <w:sz w:val="18"/>
                <w:szCs w:val="18"/>
              </w:rPr>
              <w:t>，</w:t>
            </w:r>
            <w:r>
              <w:rPr>
                <w:rFonts w:ascii="宋体" w:hAnsi="宋体" w:eastAsia="宋体"/>
                <w:sz w:val="18"/>
                <w:szCs w:val="18"/>
              </w:rPr>
              <w:t>备用电源、防洪袋</w:t>
            </w:r>
            <w:r>
              <w:rPr>
                <w:rFonts w:hint="eastAsia" w:ascii="宋体" w:hAnsi="宋体" w:eastAsia="宋体"/>
                <w:sz w:val="18"/>
                <w:szCs w:val="18"/>
              </w:rPr>
              <w:t>等</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5</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大冶市实验高中</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6</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大冶市第二中学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7</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大冶市第六中学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8</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大冶市英才学校</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9</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大冶市华中学校</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大冶市菁华中学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大冶市滨湖学校</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2</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大冶市铜绿山矿学校</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3</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大冶市东岳中学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4</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大冶市实验中学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大冶市第二实验中学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大冶市金湖街道初级中学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大冶市实验小学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8</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大冶市新街小学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9</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大冶师范附属小学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大冶市育才小学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ascii="宋体" w:hAnsi="宋体" w:eastAsia="宋体"/>
                <w:sz w:val="18"/>
                <w:szCs w:val="18"/>
              </w:rPr>
              <w:t>21</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大冶市北门小学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2</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大冶市第二实验小学</w:t>
            </w:r>
          </w:p>
        </w:tc>
        <w:tc>
          <w:tcPr>
            <w:tcW w:w="1207"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1128" w:type="pct"/>
            <w:vMerge w:val="continue"/>
            <w:shd w:val="clear" w:color="auto" w:fill="auto"/>
            <w:vAlign w:val="center"/>
          </w:tcPr>
          <w:p>
            <w:pPr>
              <w:topLinePunct/>
              <w:spacing w:line="240" w:lineRule="auto"/>
              <w:ind w:firstLine="0" w:firstLineChars="0"/>
              <w:rPr>
                <w:rFonts w:ascii="宋体" w:hAnsi="宋体" w:eastAsia="宋体"/>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市教育局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sz w:val="18"/>
                <w:szCs w:val="18"/>
              </w:rPr>
            </w:pPr>
            <w:r>
              <w:rPr>
                <w:rFonts w:hint="eastAsia"/>
                <w:sz w:val="18"/>
                <w:szCs w:val="18"/>
              </w:rPr>
              <w:t>2</w:t>
            </w:r>
            <w:r>
              <w:rPr>
                <w:sz w:val="18"/>
                <w:szCs w:val="18"/>
              </w:rPr>
              <w:t>3</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大冶市人民医院</w:t>
            </w:r>
          </w:p>
        </w:tc>
        <w:tc>
          <w:tcPr>
            <w:tcW w:w="1207" w:type="pct"/>
            <w:vMerge w:val="restart"/>
            <w:shd w:val="clear" w:color="auto" w:fill="auto"/>
            <w:vAlign w:val="center"/>
          </w:tcPr>
          <w:p>
            <w:pPr>
              <w:topLinePunct/>
              <w:spacing w:line="240" w:lineRule="auto"/>
              <w:ind w:firstLine="0" w:firstLineChars="0"/>
              <w:rPr>
                <w:sz w:val="18"/>
                <w:szCs w:val="18"/>
              </w:rPr>
            </w:pPr>
            <w:r>
              <w:rPr>
                <w:rFonts w:hint="eastAsia"/>
                <w:sz w:val="18"/>
                <w:szCs w:val="18"/>
              </w:rPr>
              <w:t>根据汛情，组织协调住院患者安置工作：遣散回家、就地留守以及转移安置，对院内危重病人的抢救和护理工作，对重要医疗器械保护和管理，重要情况下转移</w:t>
            </w:r>
          </w:p>
        </w:tc>
        <w:tc>
          <w:tcPr>
            <w:tcW w:w="1128" w:type="pct"/>
            <w:vMerge w:val="restart"/>
            <w:shd w:val="clear" w:color="auto" w:fill="auto"/>
            <w:vAlign w:val="center"/>
          </w:tcPr>
          <w:p>
            <w:pPr>
              <w:topLinePunct/>
              <w:spacing w:line="240" w:lineRule="auto"/>
              <w:ind w:firstLine="0" w:firstLineChars="0"/>
              <w:rPr>
                <w:sz w:val="18"/>
                <w:szCs w:val="18"/>
              </w:rPr>
            </w:pPr>
            <w:r>
              <w:rPr>
                <w:rFonts w:hint="eastAsia"/>
                <w:sz w:val="18"/>
                <w:szCs w:val="18"/>
              </w:rPr>
              <w:t>配备转运车辆，应急排水泵，备用电源、应急救援车等</w:t>
            </w:r>
          </w:p>
        </w:tc>
        <w:tc>
          <w:tcPr>
            <w:tcW w:w="545" w:type="pct"/>
            <w:vMerge w:val="restar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市卫生健康局</w:t>
            </w:r>
          </w:p>
        </w:tc>
        <w:tc>
          <w:tcPr>
            <w:tcW w:w="545" w:type="pct"/>
            <w:vMerge w:val="restar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sz w:val="18"/>
                <w:szCs w:val="18"/>
              </w:rPr>
            </w:pPr>
            <w:r>
              <w:rPr>
                <w:rFonts w:hint="eastAsia"/>
                <w:sz w:val="18"/>
                <w:szCs w:val="18"/>
              </w:rPr>
              <w:t>2</w:t>
            </w:r>
            <w:r>
              <w:rPr>
                <w:sz w:val="18"/>
                <w:szCs w:val="18"/>
              </w:rPr>
              <w:t>4</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大冶市中医院</w:t>
            </w:r>
          </w:p>
        </w:tc>
        <w:tc>
          <w:tcPr>
            <w:tcW w:w="1207" w:type="pct"/>
            <w:vMerge w:val="continue"/>
            <w:shd w:val="clear" w:color="auto" w:fill="auto"/>
            <w:vAlign w:val="center"/>
          </w:tcPr>
          <w:p>
            <w:pPr>
              <w:topLinePunct/>
              <w:spacing w:line="240" w:lineRule="auto"/>
              <w:ind w:firstLine="0" w:firstLineChars="0"/>
              <w:rPr>
                <w:sz w:val="18"/>
                <w:szCs w:val="18"/>
              </w:rPr>
            </w:pPr>
          </w:p>
        </w:tc>
        <w:tc>
          <w:tcPr>
            <w:tcW w:w="1128" w:type="pct"/>
            <w:vMerge w:val="continue"/>
            <w:shd w:val="clear" w:color="auto" w:fill="auto"/>
            <w:vAlign w:val="center"/>
          </w:tcPr>
          <w:p>
            <w:pPr>
              <w:topLinePunct/>
              <w:spacing w:line="240" w:lineRule="auto"/>
              <w:ind w:firstLine="0" w:firstLineChars="0"/>
              <w:rPr>
                <w:sz w:val="18"/>
                <w:szCs w:val="18"/>
              </w:rPr>
            </w:pPr>
          </w:p>
        </w:tc>
        <w:tc>
          <w:tcPr>
            <w:tcW w:w="545" w:type="pct"/>
            <w:vMerge w:val="continue"/>
            <w:shd w:val="clear" w:color="auto" w:fill="auto"/>
          </w:tcPr>
          <w:p>
            <w:pPr>
              <w:topLinePunct/>
              <w:spacing w:line="240" w:lineRule="auto"/>
              <w:ind w:firstLine="0" w:firstLineChars="0"/>
              <w:jc w:val="center"/>
              <w:rPr>
                <w:rFonts w:ascii="宋体" w:hAnsi="宋体" w:eastAsia="宋体"/>
                <w:sz w:val="18"/>
                <w:szCs w:val="18"/>
              </w:rPr>
            </w:pPr>
          </w:p>
        </w:tc>
        <w:tc>
          <w:tcPr>
            <w:tcW w:w="545" w:type="pct"/>
            <w:vMerge w:val="continue"/>
            <w:shd w:val="clear" w:color="auto" w:fill="auto"/>
          </w:tcPr>
          <w:p>
            <w:pPr>
              <w:topLinePunct/>
              <w:spacing w:line="240" w:lineRule="auto"/>
              <w:ind w:firstLine="0" w:firstLineChars="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sz w:val="18"/>
                <w:szCs w:val="18"/>
              </w:rPr>
            </w:pPr>
            <w:r>
              <w:rPr>
                <w:rFonts w:hint="eastAsia"/>
                <w:sz w:val="18"/>
                <w:szCs w:val="18"/>
              </w:rPr>
              <w:t>2</w:t>
            </w:r>
            <w:r>
              <w:rPr>
                <w:sz w:val="18"/>
                <w:szCs w:val="18"/>
              </w:rPr>
              <w:t>5</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大冶市妇幼保健院</w:t>
            </w:r>
          </w:p>
        </w:tc>
        <w:tc>
          <w:tcPr>
            <w:tcW w:w="1207" w:type="pct"/>
            <w:vMerge w:val="continue"/>
            <w:shd w:val="clear" w:color="auto" w:fill="auto"/>
            <w:vAlign w:val="center"/>
          </w:tcPr>
          <w:p>
            <w:pPr>
              <w:topLinePunct/>
              <w:spacing w:line="240" w:lineRule="auto"/>
              <w:ind w:firstLine="0" w:firstLineChars="0"/>
              <w:rPr>
                <w:sz w:val="18"/>
                <w:szCs w:val="18"/>
              </w:rPr>
            </w:pPr>
          </w:p>
        </w:tc>
        <w:tc>
          <w:tcPr>
            <w:tcW w:w="1128" w:type="pct"/>
            <w:vMerge w:val="continue"/>
            <w:shd w:val="clear" w:color="auto" w:fill="auto"/>
            <w:vAlign w:val="center"/>
          </w:tcPr>
          <w:p>
            <w:pPr>
              <w:topLinePunct/>
              <w:spacing w:line="240" w:lineRule="auto"/>
              <w:ind w:firstLine="0" w:firstLineChars="0"/>
              <w:rPr>
                <w:sz w:val="18"/>
                <w:szCs w:val="18"/>
              </w:rPr>
            </w:pPr>
          </w:p>
        </w:tc>
        <w:tc>
          <w:tcPr>
            <w:tcW w:w="545" w:type="pct"/>
            <w:vMerge w:val="continue"/>
            <w:shd w:val="clear" w:color="auto" w:fill="auto"/>
          </w:tcPr>
          <w:p>
            <w:pPr>
              <w:topLinePunct/>
              <w:spacing w:line="240" w:lineRule="auto"/>
              <w:ind w:firstLine="0" w:firstLineChars="0"/>
              <w:jc w:val="center"/>
              <w:rPr>
                <w:rFonts w:ascii="宋体" w:hAnsi="宋体" w:eastAsia="宋体"/>
                <w:sz w:val="18"/>
                <w:szCs w:val="18"/>
              </w:rPr>
            </w:pPr>
          </w:p>
        </w:tc>
        <w:tc>
          <w:tcPr>
            <w:tcW w:w="545" w:type="pct"/>
            <w:vMerge w:val="continue"/>
            <w:shd w:val="clear" w:color="auto" w:fill="auto"/>
          </w:tcPr>
          <w:p>
            <w:pPr>
              <w:topLinePunct/>
              <w:spacing w:line="240" w:lineRule="auto"/>
              <w:ind w:firstLine="0" w:firstLineChars="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37" w:type="pct"/>
            <w:shd w:val="clear" w:color="auto" w:fill="auto"/>
            <w:vAlign w:val="center"/>
          </w:tcPr>
          <w:p>
            <w:pPr>
              <w:topLinePunct/>
              <w:spacing w:line="240" w:lineRule="auto"/>
              <w:ind w:firstLine="0" w:firstLineChars="0"/>
              <w:jc w:val="center"/>
              <w:rPr>
                <w:sz w:val="18"/>
                <w:szCs w:val="18"/>
              </w:rPr>
            </w:pPr>
            <w:r>
              <w:rPr>
                <w:rFonts w:hint="eastAsia"/>
                <w:sz w:val="18"/>
                <w:szCs w:val="18"/>
              </w:rPr>
              <w:t>2</w:t>
            </w:r>
            <w:r>
              <w:rPr>
                <w:sz w:val="18"/>
                <w:szCs w:val="18"/>
              </w:rPr>
              <w:t>6</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大冶市第三人民医院</w:t>
            </w:r>
          </w:p>
        </w:tc>
        <w:tc>
          <w:tcPr>
            <w:tcW w:w="1207" w:type="pct"/>
            <w:vMerge w:val="continue"/>
            <w:shd w:val="clear" w:color="auto" w:fill="auto"/>
            <w:vAlign w:val="center"/>
          </w:tcPr>
          <w:p>
            <w:pPr>
              <w:topLinePunct/>
              <w:spacing w:line="240" w:lineRule="auto"/>
              <w:ind w:firstLine="0" w:firstLineChars="0"/>
              <w:rPr>
                <w:sz w:val="18"/>
                <w:szCs w:val="18"/>
              </w:rPr>
            </w:pPr>
          </w:p>
        </w:tc>
        <w:tc>
          <w:tcPr>
            <w:tcW w:w="1128" w:type="pct"/>
            <w:vMerge w:val="continue"/>
            <w:shd w:val="clear" w:color="auto" w:fill="auto"/>
            <w:vAlign w:val="center"/>
          </w:tcPr>
          <w:p>
            <w:pPr>
              <w:topLinePunct/>
              <w:spacing w:line="240" w:lineRule="auto"/>
              <w:ind w:firstLine="0" w:firstLineChars="0"/>
              <w:rPr>
                <w:sz w:val="18"/>
                <w:szCs w:val="18"/>
              </w:rPr>
            </w:pPr>
          </w:p>
        </w:tc>
        <w:tc>
          <w:tcPr>
            <w:tcW w:w="545" w:type="pct"/>
            <w:vMerge w:val="continue"/>
            <w:shd w:val="clear" w:color="auto" w:fill="auto"/>
          </w:tcPr>
          <w:p>
            <w:pPr>
              <w:topLinePunct/>
              <w:spacing w:line="240" w:lineRule="auto"/>
              <w:ind w:firstLine="0" w:firstLineChars="0"/>
              <w:jc w:val="center"/>
              <w:rPr>
                <w:rFonts w:ascii="宋体" w:hAnsi="宋体" w:eastAsia="宋体"/>
                <w:sz w:val="18"/>
                <w:szCs w:val="18"/>
              </w:rPr>
            </w:pPr>
          </w:p>
        </w:tc>
        <w:tc>
          <w:tcPr>
            <w:tcW w:w="545" w:type="pct"/>
            <w:vMerge w:val="continue"/>
            <w:shd w:val="clear" w:color="auto" w:fill="auto"/>
          </w:tcPr>
          <w:p>
            <w:pPr>
              <w:topLinePunct/>
              <w:spacing w:line="240" w:lineRule="auto"/>
              <w:ind w:firstLine="0" w:firstLineChars="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0" w:hRule="atLeast"/>
        </w:trPr>
        <w:tc>
          <w:tcPr>
            <w:tcW w:w="337" w:type="pct"/>
            <w:shd w:val="clear" w:color="auto" w:fill="auto"/>
            <w:vAlign w:val="center"/>
          </w:tcPr>
          <w:p>
            <w:pPr>
              <w:topLinePunct/>
              <w:spacing w:line="240" w:lineRule="auto"/>
              <w:ind w:firstLine="0" w:firstLineChars="0"/>
              <w:jc w:val="center"/>
              <w:rPr>
                <w:sz w:val="18"/>
                <w:szCs w:val="18"/>
              </w:rPr>
            </w:pPr>
            <w:r>
              <w:rPr>
                <w:rFonts w:hint="eastAsia"/>
                <w:sz w:val="18"/>
                <w:szCs w:val="18"/>
              </w:rPr>
              <w:t>2</w:t>
            </w:r>
            <w:r>
              <w:rPr>
                <w:sz w:val="18"/>
                <w:szCs w:val="18"/>
              </w:rPr>
              <w:t>7</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大冶市社会福利中心</w:t>
            </w:r>
          </w:p>
        </w:tc>
        <w:tc>
          <w:tcPr>
            <w:tcW w:w="1207" w:type="pct"/>
            <w:vMerge w:val="restart"/>
            <w:shd w:val="clear" w:color="auto" w:fill="auto"/>
            <w:vAlign w:val="center"/>
          </w:tcPr>
          <w:p>
            <w:pPr>
              <w:topLinePunct/>
              <w:spacing w:line="240" w:lineRule="auto"/>
              <w:ind w:firstLine="0" w:firstLineChars="0"/>
              <w:rPr>
                <w:sz w:val="18"/>
                <w:szCs w:val="18"/>
              </w:rPr>
            </w:pPr>
            <w:r>
              <w:rPr>
                <w:rFonts w:hint="eastAsia"/>
                <w:sz w:val="18"/>
                <w:szCs w:val="18"/>
              </w:rPr>
              <w:t>由专业救援队组织老人及相关人员撤离现场，将受伤人员送至附近医院治疗，同时切断建筑物电源，转移贵重设备和重要资料</w:t>
            </w:r>
          </w:p>
        </w:tc>
        <w:tc>
          <w:tcPr>
            <w:tcW w:w="1128" w:type="pct"/>
            <w:vMerge w:val="restart"/>
            <w:shd w:val="clear" w:color="auto" w:fill="auto"/>
            <w:vAlign w:val="center"/>
          </w:tcPr>
          <w:p>
            <w:pPr>
              <w:topLinePunct/>
              <w:spacing w:line="240" w:lineRule="auto"/>
              <w:ind w:firstLine="0" w:firstLineChars="0"/>
              <w:rPr>
                <w:sz w:val="18"/>
                <w:szCs w:val="18"/>
              </w:rPr>
            </w:pPr>
            <w:r>
              <w:rPr>
                <w:sz w:val="18"/>
                <w:szCs w:val="18"/>
              </w:rPr>
              <w:t>配备</w:t>
            </w:r>
            <w:r>
              <w:rPr>
                <w:rFonts w:hint="eastAsia"/>
                <w:sz w:val="18"/>
                <w:szCs w:val="18"/>
              </w:rPr>
              <w:t>转运</w:t>
            </w:r>
            <w:r>
              <w:rPr>
                <w:sz w:val="18"/>
                <w:szCs w:val="18"/>
              </w:rPr>
              <w:t>车辆</w:t>
            </w:r>
            <w:r>
              <w:rPr>
                <w:rFonts w:hint="eastAsia"/>
                <w:sz w:val="18"/>
                <w:szCs w:val="18"/>
              </w:rPr>
              <w:t>，应急</w:t>
            </w:r>
            <w:r>
              <w:rPr>
                <w:sz w:val="18"/>
                <w:szCs w:val="18"/>
              </w:rPr>
              <w:t>排水泵</w:t>
            </w:r>
            <w:r>
              <w:rPr>
                <w:rFonts w:hint="eastAsia"/>
                <w:sz w:val="18"/>
                <w:szCs w:val="18"/>
              </w:rPr>
              <w:t>，</w:t>
            </w:r>
            <w:r>
              <w:rPr>
                <w:sz w:val="18"/>
                <w:szCs w:val="18"/>
              </w:rPr>
              <w:t>备用电源</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市民政局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ascii="宋体" w:hAnsi="宋体" w:eastAsia="宋体"/>
                <w:sz w:val="18"/>
                <w:szCs w:val="18"/>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0" w:hRule="atLeast"/>
        </w:trPr>
        <w:tc>
          <w:tcPr>
            <w:tcW w:w="337" w:type="pct"/>
            <w:shd w:val="clear" w:color="auto" w:fill="auto"/>
            <w:vAlign w:val="center"/>
          </w:tcPr>
          <w:p>
            <w:pPr>
              <w:topLinePunct/>
              <w:spacing w:line="240" w:lineRule="auto"/>
              <w:ind w:firstLine="0" w:firstLineChars="0"/>
              <w:jc w:val="center"/>
              <w:rPr>
                <w:sz w:val="18"/>
                <w:szCs w:val="18"/>
              </w:rPr>
            </w:pPr>
            <w:r>
              <w:rPr>
                <w:rFonts w:hint="eastAsia"/>
                <w:sz w:val="18"/>
                <w:szCs w:val="18"/>
              </w:rPr>
              <w:t>2</w:t>
            </w:r>
            <w:r>
              <w:rPr>
                <w:sz w:val="18"/>
                <w:szCs w:val="18"/>
              </w:rPr>
              <w:t>8</w:t>
            </w:r>
          </w:p>
        </w:tc>
        <w:tc>
          <w:tcPr>
            <w:tcW w:w="1238" w:type="pct"/>
            <w:shd w:val="clear" w:color="auto" w:fill="auto"/>
            <w:vAlign w:val="center"/>
          </w:tcPr>
          <w:p>
            <w:pPr>
              <w:topLinePunct/>
              <w:spacing w:line="240" w:lineRule="auto"/>
              <w:ind w:firstLine="0" w:firstLineChars="0"/>
              <w:jc w:val="center"/>
              <w:rPr>
                <w:rFonts w:eastAsia="宋体" w:cs="宋体"/>
                <w:kern w:val="0"/>
                <w:sz w:val="18"/>
                <w:szCs w:val="18"/>
              </w:rPr>
            </w:pPr>
            <w:r>
              <w:rPr>
                <w:rFonts w:hint="eastAsia" w:eastAsia="宋体" w:cs="宋体"/>
                <w:kern w:val="0"/>
                <w:sz w:val="18"/>
                <w:szCs w:val="18"/>
              </w:rPr>
              <w:t>大冶华祺老年公寓</w:t>
            </w:r>
          </w:p>
        </w:tc>
        <w:tc>
          <w:tcPr>
            <w:tcW w:w="1207" w:type="pct"/>
            <w:vMerge w:val="continue"/>
            <w:shd w:val="clear" w:color="auto" w:fill="auto"/>
            <w:vAlign w:val="center"/>
          </w:tcPr>
          <w:p>
            <w:pPr>
              <w:topLinePunct/>
              <w:spacing w:line="240" w:lineRule="auto"/>
              <w:ind w:firstLine="0" w:firstLineChars="0"/>
              <w:rPr>
                <w:sz w:val="18"/>
                <w:szCs w:val="18"/>
              </w:rPr>
            </w:pPr>
          </w:p>
        </w:tc>
        <w:tc>
          <w:tcPr>
            <w:tcW w:w="1128" w:type="pct"/>
            <w:vMerge w:val="continue"/>
            <w:shd w:val="clear" w:color="auto" w:fill="auto"/>
            <w:vAlign w:val="center"/>
          </w:tcPr>
          <w:p>
            <w:pPr>
              <w:topLinePunct/>
              <w:spacing w:line="240" w:lineRule="auto"/>
              <w:ind w:firstLine="0" w:firstLineChars="0"/>
              <w:rPr>
                <w:sz w:val="18"/>
                <w:szCs w:val="18"/>
              </w:rPr>
            </w:pP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hint="eastAsia" w:ascii="宋体" w:hAnsi="宋体" w:eastAsia="宋体"/>
                <w:sz w:val="18"/>
                <w:szCs w:val="18"/>
              </w:rPr>
              <w:t>市民政局</w:t>
            </w:r>
          </w:p>
        </w:tc>
        <w:tc>
          <w:tcPr>
            <w:tcW w:w="545" w:type="pct"/>
            <w:shd w:val="clear" w:color="auto" w:fill="auto"/>
            <w:vAlign w:val="center"/>
          </w:tcPr>
          <w:p>
            <w:pPr>
              <w:topLinePunct/>
              <w:spacing w:line="240" w:lineRule="auto"/>
              <w:ind w:firstLine="0" w:firstLineChars="0"/>
              <w:jc w:val="center"/>
              <w:rPr>
                <w:rFonts w:ascii="宋体" w:hAnsi="宋体" w:eastAsia="宋体"/>
                <w:sz w:val="18"/>
                <w:szCs w:val="18"/>
              </w:rPr>
            </w:pPr>
            <w:r>
              <w:rPr>
                <w:rFonts w:ascii="宋体" w:hAnsi="宋体" w:eastAsia="宋体"/>
                <w:sz w:val="18"/>
                <w:szCs w:val="18"/>
              </w:rPr>
              <w:t>副局长</w:t>
            </w:r>
          </w:p>
        </w:tc>
      </w:tr>
    </w:tbl>
    <w:p>
      <w:pPr>
        <w:pStyle w:val="3"/>
        <w:topLinePunct/>
        <w:ind w:firstLine="0" w:firstLineChars="0"/>
      </w:pPr>
      <w:bookmarkStart w:id="58" w:name="_Toc133666664"/>
      <w:bookmarkStart w:id="59" w:name="_Toc134984869"/>
      <w:r>
        <w:rPr>
          <w:rFonts w:hint="eastAsia"/>
        </w:rPr>
        <w:t>（二）应急调度方案</w:t>
      </w:r>
      <w:bookmarkEnd w:id="58"/>
      <w:bookmarkEnd w:id="59"/>
    </w:p>
    <w:p>
      <w:pPr>
        <w:pStyle w:val="4"/>
        <w:topLinePunct/>
        <w:spacing w:before="0" w:after="0" w:line="240" w:lineRule="auto"/>
        <w:ind w:firstLine="0" w:firstLineChars="0"/>
        <w:rPr>
          <w:sz w:val="28"/>
          <w:szCs w:val="28"/>
        </w:rPr>
      </w:pPr>
      <w:bookmarkStart w:id="60" w:name="_Toc133666665"/>
      <w:bookmarkStart w:id="61" w:name="_Toc134984870"/>
      <w:r>
        <w:rPr>
          <w:sz w:val="28"/>
          <w:szCs w:val="28"/>
        </w:rPr>
        <w:t>1</w:t>
      </w:r>
      <w:r>
        <w:rPr>
          <w:rFonts w:hint="eastAsia"/>
          <w:sz w:val="28"/>
          <w:szCs w:val="28"/>
        </w:rPr>
        <w:t>、湖泊与涵闸调度</w:t>
      </w:r>
      <w:bookmarkEnd w:id="60"/>
      <w:bookmarkEnd w:id="61"/>
    </w:p>
    <w:p>
      <w:pPr>
        <w:topLinePunct/>
        <w:ind w:firstLine="560"/>
        <w:rPr>
          <w:sz w:val="28"/>
          <w:szCs w:val="28"/>
        </w:rPr>
      </w:pPr>
      <w:r>
        <w:rPr>
          <w:rFonts w:hint="eastAsia"/>
          <w:sz w:val="28"/>
          <w:szCs w:val="28"/>
        </w:rPr>
        <w:t>（</w:t>
      </w:r>
      <w:r>
        <w:rPr>
          <w:sz w:val="28"/>
          <w:szCs w:val="28"/>
        </w:rPr>
        <w:t>1</w:t>
      </w:r>
      <w:r>
        <w:rPr>
          <w:rFonts w:hint="eastAsia"/>
          <w:sz w:val="28"/>
          <w:szCs w:val="28"/>
        </w:rPr>
        <w:t>）湖泊调度</w:t>
      </w:r>
    </w:p>
    <w:p>
      <w:pPr>
        <w:topLinePunct/>
        <w:ind w:firstLine="560"/>
        <w:rPr>
          <w:rFonts w:asciiTheme="minorHAnsi" w:hAnsiTheme="minorHAnsi"/>
          <w:sz w:val="28"/>
          <w:szCs w:val="28"/>
        </w:rPr>
      </w:pPr>
      <w:r>
        <w:rPr>
          <w:rFonts w:hint="eastAsia"/>
          <w:sz w:val="28"/>
          <w:szCs w:val="28"/>
        </w:rPr>
        <w:t>坚持“泵站抽排与现有内湖水系调蓄相结合”的原则，充分发挥内湖水系的调洪蓄洪作用。尹家湖、红星湖水位在汛期必须控制在</w:t>
      </w:r>
      <w:r>
        <w:rPr>
          <w:sz w:val="28"/>
          <w:szCs w:val="28"/>
        </w:rPr>
        <w:t>16.5m</w:t>
      </w:r>
      <w:r>
        <w:rPr>
          <w:rFonts w:hint="eastAsia"/>
          <w:sz w:val="28"/>
          <w:szCs w:val="28"/>
        </w:rPr>
        <w:t>以下，根据预报未来</w:t>
      </w:r>
      <w:r>
        <w:rPr>
          <w:sz w:val="28"/>
          <w:szCs w:val="28"/>
        </w:rPr>
        <w:t>24</w:t>
      </w:r>
      <w:r>
        <w:rPr>
          <w:rFonts w:hint="eastAsia"/>
          <w:sz w:val="28"/>
          <w:szCs w:val="28"/>
        </w:rPr>
        <w:t>小时有</w:t>
      </w:r>
      <w:r>
        <w:rPr>
          <w:sz w:val="28"/>
          <w:szCs w:val="28"/>
        </w:rPr>
        <w:t>100mm</w:t>
      </w:r>
      <w:r>
        <w:rPr>
          <w:rFonts w:hint="eastAsia"/>
          <w:sz w:val="28"/>
          <w:szCs w:val="28"/>
        </w:rPr>
        <w:t>以上降雨时，提前</w:t>
      </w:r>
      <w:r>
        <w:rPr>
          <w:sz w:val="28"/>
          <w:szCs w:val="28"/>
        </w:rPr>
        <w:t>24</w:t>
      </w:r>
      <w:r>
        <w:rPr>
          <w:rFonts w:hint="eastAsia"/>
          <w:sz w:val="28"/>
          <w:szCs w:val="28"/>
        </w:rPr>
        <w:t>小时开启尹家湖闸、青龙闸，启动尹家湖泵站、青龙泵站提排，将水位控制在</w:t>
      </w:r>
      <w:r>
        <w:rPr>
          <w:sz w:val="28"/>
          <w:szCs w:val="28"/>
        </w:rPr>
        <w:t>16.0m</w:t>
      </w:r>
      <w:r>
        <w:rPr>
          <w:rFonts w:hint="eastAsia"/>
          <w:sz w:val="28"/>
          <w:szCs w:val="28"/>
        </w:rPr>
        <w:t>，腾出湖容。降雨过程中，结合降雨雨强，尹家湖泵站、青龙泵站机组需开尽开、能开尽开，优先抽排城区雨水，后期以排尹家湖、红星湖湖水为主，将水位控制在</w:t>
      </w:r>
      <w:r>
        <w:rPr>
          <w:sz w:val="28"/>
          <w:szCs w:val="28"/>
        </w:rPr>
        <w:t>16.0m</w:t>
      </w:r>
      <w:r>
        <w:rPr>
          <w:rFonts w:hint="eastAsia"/>
          <w:sz w:val="28"/>
          <w:szCs w:val="28"/>
        </w:rPr>
        <w:t>。</w:t>
      </w:r>
    </w:p>
    <w:p>
      <w:pPr>
        <w:topLinePunct/>
        <w:ind w:firstLine="560"/>
        <w:rPr>
          <w:rFonts w:asciiTheme="minorHAnsi" w:hAnsiTheme="minorHAnsi"/>
          <w:sz w:val="28"/>
          <w:szCs w:val="28"/>
        </w:rPr>
      </w:pPr>
      <w:r>
        <w:rPr>
          <w:rFonts w:hint="eastAsia"/>
          <w:sz w:val="28"/>
          <w:szCs w:val="28"/>
        </w:rPr>
        <w:t>当尹家湖、红星湖水位涨至警戒水位</w:t>
      </w:r>
      <w:r>
        <w:rPr>
          <w:sz w:val="28"/>
          <w:szCs w:val="28"/>
        </w:rPr>
        <w:t>18.5m</w:t>
      </w:r>
      <w:r>
        <w:rPr>
          <w:rFonts w:hint="eastAsia"/>
          <w:sz w:val="28"/>
          <w:szCs w:val="28"/>
        </w:rPr>
        <w:t>，且预报未来有较强降雨过程，水位将持续上涨时，会商相关应急措施。</w:t>
      </w:r>
    </w:p>
    <w:p>
      <w:pPr>
        <w:topLinePunct/>
        <w:ind w:firstLine="560"/>
        <w:rPr>
          <w:sz w:val="28"/>
          <w:szCs w:val="28"/>
        </w:rPr>
      </w:pPr>
      <w:r>
        <w:rPr>
          <w:rFonts w:hint="eastAsia"/>
          <w:sz w:val="28"/>
          <w:szCs w:val="28"/>
        </w:rPr>
        <w:t>（</w:t>
      </w:r>
      <w:r>
        <w:rPr>
          <w:sz w:val="28"/>
          <w:szCs w:val="28"/>
        </w:rPr>
        <w:t>2</w:t>
      </w:r>
      <w:r>
        <w:rPr>
          <w:rFonts w:hint="eastAsia"/>
          <w:sz w:val="28"/>
          <w:szCs w:val="28"/>
        </w:rPr>
        <w:t>）涵闸调度</w:t>
      </w:r>
    </w:p>
    <w:p>
      <w:pPr>
        <w:topLinePunct/>
        <w:ind w:firstLine="560"/>
        <w:rPr>
          <w:rFonts w:asciiTheme="minorHAnsi" w:hAnsiTheme="minorHAnsi"/>
          <w:sz w:val="28"/>
          <w:szCs w:val="28"/>
        </w:rPr>
      </w:pPr>
      <w:r>
        <w:rPr>
          <w:rFonts w:hint="eastAsia"/>
          <w:sz w:val="28"/>
          <w:szCs w:val="28"/>
        </w:rPr>
        <w:t>尹家湖闸、青龙闸由大冶市水利和湖泊局指挥调度，市排水管理处具体实施，汛期应安排人员</w:t>
      </w:r>
      <w:r>
        <w:rPr>
          <w:sz w:val="28"/>
          <w:szCs w:val="28"/>
        </w:rPr>
        <w:t>24</w:t>
      </w:r>
      <w:r>
        <w:rPr>
          <w:rFonts w:hint="eastAsia"/>
          <w:sz w:val="28"/>
          <w:szCs w:val="28"/>
        </w:rPr>
        <w:t>小时值班，并配备</w:t>
      </w:r>
      <w:r>
        <w:rPr>
          <w:sz w:val="28"/>
          <w:szCs w:val="28"/>
        </w:rPr>
        <w:t>1</w:t>
      </w:r>
      <w:r>
        <w:rPr>
          <w:rFonts w:hint="eastAsia"/>
          <w:sz w:val="28"/>
          <w:szCs w:val="28"/>
        </w:rPr>
        <w:t>台发电机组，确保尹家湖闸、青龙闸能及时开启或关闭。</w:t>
      </w:r>
    </w:p>
    <w:p>
      <w:pPr>
        <w:topLinePunct/>
        <w:ind w:firstLine="560"/>
        <w:rPr>
          <w:rFonts w:asciiTheme="minorHAnsi" w:hAnsiTheme="minorHAnsi"/>
        </w:rPr>
      </w:pPr>
      <w:r>
        <w:rPr>
          <w:rFonts w:hint="eastAsia"/>
          <w:sz w:val="28"/>
          <w:szCs w:val="28"/>
        </w:rPr>
        <w:t>其他涵闸由大冶市水利和湖泊局指挥调度并具体实施，涵闸开启或关闭前，大冶市水利和湖泊局应提前通知城市防洪（排渍）指挥部作好相应准备。</w:t>
      </w:r>
    </w:p>
    <w:p>
      <w:pPr>
        <w:pStyle w:val="4"/>
        <w:topLinePunct/>
        <w:spacing w:before="0" w:after="0" w:line="240" w:lineRule="auto"/>
        <w:ind w:firstLine="0" w:firstLineChars="0"/>
        <w:rPr>
          <w:sz w:val="28"/>
          <w:szCs w:val="28"/>
        </w:rPr>
      </w:pPr>
      <w:bookmarkStart w:id="62" w:name="_Toc134984871"/>
      <w:bookmarkStart w:id="63" w:name="_Toc133666666"/>
      <w:r>
        <w:rPr>
          <w:sz w:val="28"/>
          <w:szCs w:val="28"/>
        </w:rPr>
        <w:t>2</w:t>
      </w:r>
      <w:r>
        <w:rPr>
          <w:rFonts w:hint="eastAsia"/>
          <w:sz w:val="28"/>
          <w:szCs w:val="28"/>
        </w:rPr>
        <w:t>、污水处理设施运行调度与组织</w:t>
      </w:r>
      <w:bookmarkEnd w:id="62"/>
      <w:bookmarkEnd w:id="63"/>
    </w:p>
    <w:p>
      <w:pPr>
        <w:topLinePunct/>
        <w:ind w:firstLine="560"/>
        <w:rPr>
          <w:rFonts w:asciiTheme="minorHAnsi" w:hAnsiTheme="minorHAnsi"/>
          <w:sz w:val="28"/>
          <w:szCs w:val="28"/>
        </w:rPr>
      </w:pPr>
      <w:r>
        <w:rPr>
          <w:rFonts w:hint="eastAsia"/>
          <w:sz w:val="28"/>
          <w:szCs w:val="28"/>
        </w:rPr>
        <w:t>汛期污水处理设施的运行必须服从和服务于城市防洪（排渍）指挥部统一指挥调度。</w:t>
      </w:r>
    </w:p>
    <w:p>
      <w:pPr>
        <w:topLinePunct/>
        <w:ind w:firstLine="560"/>
        <w:rPr>
          <w:sz w:val="28"/>
          <w:szCs w:val="28"/>
        </w:rPr>
      </w:pPr>
      <w:bookmarkStart w:id="64" w:name="_Toc23937"/>
      <w:bookmarkStart w:id="65" w:name="_Toc20109"/>
      <w:r>
        <w:rPr>
          <w:rFonts w:hint="eastAsia"/>
          <w:sz w:val="28"/>
          <w:szCs w:val="28"/>
        </w:rPr>
        <w:t>（</w:t>
      </w:r>
      <w:r>
        <w:rPr>
          <w:sz w:val="28"/>
          <w:szCs w:val="28"/>
        </w:rPr>
        <w:t>1</w:t>
      </w:r>
      <w:r>
        <w:rPr>
          <w:rFonts w:hint="eastAsia"/>
          <w:sz w:val="28"/>
          <w:szCs w:val="28"/>
        </w:rPr>
        <w:t>）城南污水处理厂</w:t>
      </w:r>
      <w:bookmarkEnd w:id="64"/>
      <w:bookmarkEnd w:id="65"/>
      <w:r>
        <w:rPr>
          <w:rFonts w:hint="eastAsia"/>
          <w:sz w:val="28"/>
          <w:szCs w:val="28"/>
        </w:rPr>
        <w:t>、大箕铺污水处理厂</w:t>
      </w:r>
    </w:p>
    <w:p>
      <w:pPr>
        <w:topLinePunct/>
        <w:ind w:firstLine="560"/>
        <w:rPr>
          <w:rFonts w:asciiTheme="minorHAnsi" w:hAnsiTheme="minorHAnsi"/>
          <w:sz w:val="28"/>
          <w:szCs w:val="28"/>
        </w:rPr>
      </w:pPr>
      <w:r>
        <w:rPr>
          <w:rFonts w:hint="eastAsia"/>
          <w:sz w:val="28"/>
          <w:szCs w:val="28"/>
        </w:rPr>
        <w:t>必须确保所有设备设施完好，落实专人负责前池进水格栅的巡视，当前池液位计有迅速上涨趋势，必须及时报告市排水管理处。</w:t>
      </w:r>
    </w:p>
    <w:p>
      <w:pPr>
        <w:topLinePunct/>
        <w:ind w:firstLine="560"/>
        <w:rPr>
          <w:sz w:val="28"/>
          <w:szCs w:val="28"/>
        </w:rPr>
      </w:pPr>
      <w:bookmarkStart w:id="66" w:name="_Toc20386"/>
      <w:bookmarkStart w:id="67" w:name="_Toc16843"/>
      <w:r>
        <w:rPr>
          <w:rFonts w:hint="eastAsia"/>
          <w:sz w:val="28"/>
          <w:szCs w:val="28"/>
        </w:rPr>
        <w:t>（</w:t>
      </w:r>
      <w:r>
        <w:rPr>
          <w:sz w:val="28"/>
          <w:szCs w:val="28"/>
        </w:rPr>
        <w:t>2</w:t>
      </w:r>
      <w:r>
        <w:rPr>
          <w:rFonts w:hint="eastAsia"/>
          <w:sz w:val="28"/>
          <w:szCs w:val="28"/>
        </w:rPr>
        <w:t>）市</w:t>
      </w:r>
      <w:bookmarkEnd w:id="66"/>
      <w:bookmarkEnd w:id="67"/>
      <w:r>
        <w:rPr>
          <w:rFonts w:hint="eastAsia"/>
          <w:sz w:val="28"/>
          <w:szCs w:val="28"/>
        </w:rPr>
        <w:t>排水管理处</w:t>
      </w:r>
    </w:p>
    <w:p>
      <w:pPr>
        <w:topLinePunct/>
        <w:ind w:firstLine="560"/>
        <w:rPr>
          <w:rFonts w:asciiTheme="minorHAnsi" w:hAnsiTheme="minorHAnsi"/>
        </w:rPr>
      </w:pPr>
      <w:r>
        <w:rPr>
          <w:rFonts w:hint="eastAsia"/>
          <w:sz w:val="28"/>
          <w:szCs w:val="28"/>
        </w:rPr>
        <w:t>城区的污水设施的运行必须服从市排水管理处统一指挥调度，遇强降雨天气，当环湖路污水泵站抽排能力不足以应对来水时，应及时向市排水管理处报告。</w:t>
      </w:r>
    </w:p>
    <w:p>
      <w:pPr>
        <w:topLinePunct/>
        <w:ind w:firstLine="0" w:firstLineChars="0"/>
        <w:jc w:val="center"/>
        <w:rPr>
          <w:highlight w:val="yellow"/>
        </w:rPr>
      </w:pPr>
      <w:r>
        <w:rPr>
          <w:rFonts w:hint="eastAsia"/>
          <w:b/>
        </w:rPr>
        <w:t>表</w:t>
      </w:r>
      <w:r>
        <w:rPr>
          <w:b/>
        </w:rPr>
        <w:t xml:space="preserve">3-5 </w:t>
      </w:r>
      <w:r>
        <w:rPr>
          <w:rFonts w:hint="eastAsia"/>
          <w:b/>
        </w:rPr>
        <w:t>城区污水泵站、截流闸责任单位一览表</w:t>
      </w:r>
    </w:p>
    <w:tbl>
      <w:tblPr>
        <w:tblStyle w:val="17"/>
        <w:tblW w:w="5000" w:type="pct"/>
        <w:tblInd w:w="0" w:type="dxa"/>
        <w:tblLayout w:type="autofit"/>
        <w:tblCellMar>
          <w:top w:w="0" w:type="dxa"/>
          <w:left w:w="108" w:type="dxa"/>
          <w:bottom w:w="0" w:type="dxa"/>
          <w:right w:w="108" w:type="dxa"/>
        </w:tblCellMar>
      </w:tblPr>
      <w:tblGrid>
        <w:gridCol w:w="1891"/>
        <w:gridCol w:w="1493"/>
        <w:gridCol w:w="1400"/>
        <w:gridCol w:w="1324"/>
        <w:gridCol w:w="3179"/>
      </w:tblGrid>
      <w:tr>
        <w:tblPrEx>
          <w:tblCellMar>
            <w:top w:w="0" w:type="dxa"/>
            <w:left w:w="108" w:type="dxa"/>
            <w:bottom w:w="0" w:type="dxa"/>
            <w:right w:w="108" w:type="dxa"/>
          </w:tblCellMar>
        </w:tblPrEx>
        <w:trPr>
          <w:trHeight w:val="567" w:hRule="atLeast"/>
          <w:tblHeader/>
        </w:trPr>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泵房、闸门名称</w:t>
            </w:r>
          </w:p>
        </w:tc>
        <w:tc>
          <w:tcPr>
            <w:tcW w:w="804"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责任单位</w:t>
            </w:r>
          </w:p>
        </w:tc>
        <w:tc>
          <w:tcPr>
            <w:tcW w:w="754"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责任人</w:t>
            </w:r>
          </w:p>
        </w:tc>
        <w:tc>
          <w:tcPr>
            <w:tcW w:w="71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负责人</w:t>
            </w:r>
          </w:p>
        </w:tc>
        <w:tc>
          <w:tcPr>
            <w:tcW w:w="171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责任要求</w:t>
            </w: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世纪林泵房</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姜武义</w:t>
            </w:r>
          </w:p>
        </w:tc>
        <w:tc>
          <w:tcPr>
            <w:tcW w:w="71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邹次启</w:t>
            </w:r>
          </w:p>
        </w:tc>
        <w:tc>
          <w:tcPr>
            <w:tcW w:w="1711"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textAlignment w:val="auto"/>
              <w:rPr>
                <w:rFonts w:ascii="宋体" w:hAnsi="宋体" w:eastAsia="宋体" w:cs="宋体"/>
                <w:kern w:val="0"/>
                <w:sz w:val="21"/>
                <w:szCs w:val="21"/>
              </w:rPr>
            </w:pPr>
            <w:r>
              <w:rPr>
                <w:rFonts w:hint="eastAsia" w:ascii="宋体" w:hAnsi="宋体" w:eastAsia="宋体" w:cs="宋体"/>
                <w:kern w:val="0"/>
                <w:sz w:val="21"/>
                <w:szCs w:val="21"/>
              </w:rPr>
              <w:t>1、所有责任人为泵房第一责任人；大雨抢险期间必须到泵房和闸门进行值守并进行安全操作；2、防洪排渍期间，排水管理处、公园管理处责任安排人员全天候值班和巡查，做好应急处理工作。巡查责任人：姜武义、李春成、秦红兵。3、防洪排渍期间，所有责任人员必须开通通讯工具，发现关机或联系不上，全局通报批评，并予罚款及追责。4、泵房责任人员必须做好机组运行情况记录，发现问题及时上报。</w:t>
            </w: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金湖大道泵房</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汪枫华</w:t>
            </w:r>
          </w:p>
        </w:tc>
        <w:tc>
          <w:tcPr>
            <w:tcW w:w="71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叶爱宝</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城西路泵房</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陈建国</w:t>
            </w:r>
          </w:p>
        </w:tc>
        <w:tc>
          <w:tcPr>
            <w:tcW w:w="71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邹武权</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张麒泵房</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陈迪友</w:t>
            </w:r>
          </w:p>
        </w:tc>
        <w:tc>
          <w:tcPr>
            <w:tcW w:w="71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陈绪奎</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纬五路泵房</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余  敏</w:t>
            </w:r>
          </w:p>
        </w:tc>
        <w:tc>
          <w:tcPr>
            <w:tcW w:w="71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邹武林</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青龙路泵房</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张  娟</w:t>
            </w:r>
          </w:p>
        </w:tc>
        <w:tc>
          <w:tcPr>
            <w:tcW w:w="71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刘云生</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天子湖泵房</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陈迪友</w:t>
            </w:r>
          </w:p>
        </w:tc>
        <w:tc>
          <w:tcPr>
            <w:tcW w:w="71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李民贵</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城际铁路泵房</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彭金刚</w:t>
            </w:r>
          </w:p>
        </w:tc>
        <w:tc>
          <w:tcPr>
            <w:tcW w:w="71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黄映海</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大冶大道泵站</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张  娟</w:t>
            </w:r>
          </w:p>
        </w:tc>
        <w:tc>
          <w:tcPr>
            <w:tcW w:w="71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邹克明</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沿湖路泵站</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张金霞</w:t>
            </w:r>
          </w:p>
        </w:tc>
        <w:tc>
          <w:tcPr>
            <w:tcW w:w="713" w:type="pct"/>
            <w:tcBorders>
              <w:top w:val="nil"/>
              <w:left w:val="nil"/>
              <w:bottom w:val="nil"/>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王福林</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青龙闸泵站</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公园管理处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皮运桥</w:t>
            </w:r>
          </w:p>
        </w:tc>
        <w:tc>
          <w:tcPr>
            <w:tcW w:w="713"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周慧琴</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尹家湖泵站</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公园管理处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蒋林生</w:t>
            </w:r>
          </w:p>
        </w:tc>
        <w:tc>
          <w:tcPr>
            <w:tcW w:w="713"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苑家嘴闸门</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张金霞</w:t>
            </w:r>
          </w:p>
        </w:tc>
        <w:tc>
          <w:tcPr>
            <w:tcW w:w="713"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邹益民</w:t>
            </w:r>
          </w:p>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柯永生</w:t>
            </w:r>
          </w:p>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杨拥军</w:t>
            </w: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老人大闸门</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吴  杰</w:t>
            </w:r>
          </w:p>
        </w:tc>
        <w:tc>
          <w:tcPr>
            <w:tcW w:w="713"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青龙闸闸门</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彭金刚</w:t>
            </w:r>
          </w:p>
        </w:tc>
        <w:tc>
          <w:tcPr>
            <w:tcW w:w="713"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下黄村闸门（2处）</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张金霞</w:t>
            </w:r>
          </w:p>
        </w:tc>
        <w:tc>
          <w:tcPr>
            <w:tcW w:w="713"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莲花芯闸门</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汪枫华</w:t>
            </w:r>
          </w:p>
        </w:tc>
        <w:tc>
          <w:tcPr>
            <w:tcW w:w="713"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七里路口闸门</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余  敏</w:t>
            </w:r>
          </w:p>
        </w:tc>
        <w:tc>
          <w:tcPr>
            <w:tcW w:w="713"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CellMar>
            <w:top w:w="0" w:type="dxa"/>
            <w:left w:w="108" w:type="dxa"/>
            <w:bottom w:w="0" w:type="dxa"/>
            <w:right w:w="108" w:type="dxa"/>
          </w:tblCellMar>
        </w:tblPrEx>
        <w:trPr>
          <w:trHeight w:val="454" w:hRule="atLeast"/>
        </w:trPr>
        <w:tc>
          <w:tcPr>
            <w:tcW w:w="101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青龙路闸门（2处）</w:t>
            </w:r>
          </w:p>
        </w:tc>
        <w:tc>
          <w:tcPr>
            <w:tcW w:w="80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排水管理处</w:t>
            </w:r>
          </w:p>
        </w:tc>
        <w:tc>
          <w:tcPr>
            <w:tcW w:w="7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郗  望</w:t>
            </w:r>
          </w:p>
        </w:tc>
        <w:tc>
          <w:tcPr>
            <w:tcW w:w="713"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71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auto"/>
              <w:rPr>
                <w:rFonts w:ascii="宋体" w:hAnsi="宋体" w:eastAsia="宋体" w:cs="宋体"/>
                <w:kern w:val="0"/>
                <w:sz w:val="21"/>
                <w:szCs w:val="21"/>
              </w:rPr>
            </w:pPr>
          </w:p>
        </w:tc>
      </w:tr>
    </w:tbl>
    <w:p>
      <w:pPr>
        <w:topLinePunct/>
        <w:ind w:firstLine="560"/>
        <w:rPr>
          <w:rFonts w:asciiTheme="minorHAnsi" w:hAnsiTheme="minorHAnsi"/>
          <w:sz w:val="28"/>
          <w:szCs w:val="28"/>
          <w:highlight w:val="yellow"/>
        </w:rPr>
      </w:pPr>
      <w:r>
        <w:rPr>
          <w:rFonts w:hint="eastAsia"/>
          <w:sz w:val="28"/>
          <w:szCs w:val="28"/>
        </w:rPr>
        <w:t>污水处理设施运营单位须制定详细的应急抢险预案，组建抢险突击队，组织做好各自管辖范围内的排水防涝抢险工作，保障污水设施安全运行。</w:t>
      </w:r>
    </w:p>
    <w:p>
      <w:pPr>
        <w:pStyle w:val="4"/>
        <w:topLinePunct/>
        <w:spacing w:before="0" w:after="0" w:line="240" w:lineRule="auto"/>
        <w:ind w:firstLine="0" w:firstLineChars="0"/>
        <w:rPr>
          <w:sz w:val="28"/>
          <w:szCs w:val="28"/>
        </w:rPr>
      </w:pPr>
      <w:bookmarkStart w:id="68" w:name="_Toc133666667"/>
      <w:bookmarkStart w:id="69" w:name="_Toc7014"/>
      <w:bookmarkStart w:id="70" w:name="_Toc20667"/>
      <w:bookmarkStart w:id="71" w:name="_Toc134984872"/>
      <w:r>
        <w:rPr>
          <w:sz w:val="28"/>
          <w:szCs w:val="28"/>
        </w:rPr>
        <w:t>3</w:t>
      </w:r>
      <w:r>
        <w:rPr>
          <w:rFonts w:hint="eastAsia"/>
          <w:sz w:val="28"/>
          <w:szCs w:val="28"/>
        </w:rPr>
        <w:t>、渍水路段抢疏抢排组织与调度</w:t>
      </w:r>
      <w:bookmarkEnd w:id="68"/>
      <w:bookmarkEnd w:id="69"/>
      <w:bookmarkEnd w:id="70"/>
      <w:bookmarkEnd w:id="71"/>
    </w:p>
    <w:p>
      <w:pPr>
        <w:topLinePunct/>
        <w:ind w:firstLine="560"/>
        <w:rPr>
          <w:sz w:val="28"/>
          <w:szCs w:val="28"/>
        </w:rPr>
      </w:pPr>
      <w:r>
        <w:rPr>
          <w:rFonts w:hint="eastAsia"/>
          <w:sz w:val="28"/>
          <w:szCs w:val="28"/>
        </w:rPr>
        <w:t>城市防洪（排渍）指挥部要明确城区重点路段排涝抢险的主管领导和责任领导，当气象局发布红色雨情预警，主要领导提前安排责任领导部署应急抢险人员及车辆进行巡视，安排抢排值守责任人必须在责任路段值守，督促路面进水花眼树叶垃圾清捞，打开渍水路段井盖加快积水排放，在井盖周边设立安全警示标志，确保行人车辆安全通行，水不退人不退。</w:t>
      </w:r>
    </w:p>
    <w:p>
      <w:pPr>
        <w:topLinePunct/>
        <w:ind w:firstLine="560"/>
        <w:rPr>
          <w:highlight w:val="yellow"/>
        </w:rPr>
      </w:pPr>
      <w:r>
        <w:rPr>
          <w:rFonts w:hint="eastAsia"/>
          <w:sz w:val="28"/>
          <w:szCs w:val="28"/>
        </w:rPr>
        <w:t>负责领导负责易涝点的巡视与人员车辆调度，以及汛前、汛中、汛后的资料收集与报送，督导工作组负责防汛抢排工作的监督和指导工作，重点路段需由城市防洪（排渍）指挥部调度移动泵车等抢险设备进行抢排，指挥部办公室完成防汛抢排工作的宣传与资料收集。城区重点路段排涝抢险责任分工见下表。</w:t>
      </w:r>
    </w:p>
    <w:p>
      <w:pPr>
        <w:topLinePunct/>
        <w:ind w:firstLine="0" w:firstLineChars="0"/>
        <w:jc w:val="center"/>
        <w:rPr>
          <w:highlight w:val="yellow"/>
        </w:rPr>
      </w:pPr>
      <w:r>
        <w:rPr>
          <w:rFonts w:hint="eastAsia"/>
          <w:b/>
        </w:rPr>
        <w:t>表</w:t>
      </w:r>
      <w:r>
        <w:rPr>
          <w:b/>
        </w:rPr>
        <w:t xml:space="preserve">3-6 </w:t>
      </w:r>
      <w:r>
        <w:rPr>
          <w:rFonts w:hint="eastAsia"/>
          <w:b/>
        </w:rPr>
        <w:t>城区重点路段排涝抢险责任表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1122"/>
        <w:gridCol w:w="2693"/>
        <w:gridCol w:w="3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b/>
                <w:bCs/>
                <w:kern w:val="0"/>
                <w:sz w:val="21"/>
                <w:szCs w:val="21"/>
              </w:rPr>
            </w:pPr>
            <w:r>
              <w:rPr>
                <w:rFonts w:hint="eastAsia" w:ascii="宋体" w:hAnsi="宋体" w:eastAsia="宋体" w:cs="宋体"/>
                <w:b/>
                <w:bCs/>
                <w:kern w:val="0"/>
                <w:sz w:val="21"/>
                <w:szCs w:val="21"/>
              </w:rPr>
              <w:t>责任地段</w:t>
            </w:r>
          </w:p>
        </w:tc>
        <w:tc>
          <w:tcPr>
            <w:tcW w:w="604" w:type="pct"/>
            <w:shd w:val="clear" w:color="auto" w:fill="auto"/>
            <w:vAlign w:val="center"/>
          </w:tcPr>
          <w:p>
            <w:pPr>
              <w:widowControl/>
              <w:spacing w:line="240" w:lineRule="auto"/>
              <w:ind w:firstLine="0" w:firstLineChars="0"/>
              <w:jc w:val="center"/>
              <w:textAlignment w:val="auto"/>
              <w:rPr>
                <w:rFonts w:ascii="宋体" w:hAnsi="宋体" w:eastAsia="宋体" w:cs="宋体"/>
                <w:b/>
                <w:bCs/>
                <w:kern w:val="0"/>
                <w:sz w:val="21"/>
                <w:szCs w:val="21"/>
              </w:rPr>
            </w:pPr>
            <w:r>
              <w:rPr>
                <w:rFonts w:hint="eastAsia" w:ascii="宋体" w:hAnsi="宋体" w:eastAsia="宋体" w:cs="宋体"/>
                <w:b/>
                <w:bCs/>
                <w:kern w:val="0"/>
                <w:sz w:val="21"/>
                <w:szCs w:val="21"/>
              </w:rPr>
              <w:t>责任领导</w:t>
            </w: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b/>
                <w:bCs/>
                <w:kern w:val="0"/>
                <w:sz w:val="21"/>
                <w:szCs w:val="21"/>
              </w:rPr>
            </w:pPr>
            <w:r>
              <w:rPr>
                <w:rFonts w:hint="eastAsia" w:ascii="宋体" w:hAnsi="宋体" w:eastAsia="宋体" w:cs="宋体"/>
                <w:b/>
                <w:bCs/>
                <w:kern w:val="0"/>
                <w:sz w:val="21"/>
                <w:szCs w:val="21"/>
              </w:rPr>
              <w:t>责任单位</w:t>
            </w:r>
          </w:p>
        </w:tc>
        <w:tc>
          <w:tcPr>
            <w:tcW w:w="1736" w:type="pct"/>
            <w:shd w:val="clear" w:color="auto" w:fill="auto"/>
            <w:vAlign w:val="center"/>
          </w:tcPr>
          <w:p>
            <w:pPr>
              <w:widowControl/>
              <w:spacing w:line="240" w:lineRule="auto"/>
              <w:ind w:firstLine="0" w:firstLineChars="0"/>
              <w:jc w:val="center"/>
              <w:textAlignment w:val="auto"/>
              <w:rPr>
                <w:rFonts w:ascii="宋体" w:hAnsi="宋体" w:eastAsia="宋体" w:cs="宋体"/>
                <w:b/>
                <w:bCs/>
                <w:kern w:val="0"/>
                <w:sz w:val="21"/>
                <w:szCs w:val="21"/>
              </w:rPr>
            </w:pPr>
            <w:r>
              <w:rPr>
                <w:rFonts w:hint="eastAsia" w:ascii="宋体" w:hAnsi="宋体" w:eastAsia="宋体" w:cs="宋体"/>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城西铁路桥</w:t>
            </w:r>
          </w:p>
        </w:tc>
        <w:tc>
          <w:tcPr>
            <w:tcW w:w="604" w:type="pct"/>
            <w:vMerge w:val="restart"/>
            <w:shd w:val="clear" w:color="auto" w:fill="auto"/>
            <w:vAlign w:val="center"/>
          </w:tcPr>
          <w:p>
            <w:pPr>
              <w:widowControl/>
              <w:spacing w:line="240" w:lineRule="auto"/>
              <w:ind w:firstLine="0" w:firstLineChars="0"/>
              <w:jc w:val="center"/>
              <w:textAlignment w:val="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柯雄亮</w:t>
            </w: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东岳路办事处</w:t>
            </w:r>
          </w:p>
        </w:tc>
        <w:tc>
          <w:tcPr>
            <w:tcW w:w="1736" w:type="pct"/>
            <w:vMerge w:val="restart"/>
            <w:shd w:val="clear" w:color="auto" w:fill="auto"/>
            <w:vAlign w:val="center"/>
          </w:tcPr>
          <w:p>
            <w:pPr>
              <w:widowControl/>
              <w:spacing w:line="240" w:lineRule="auto"/>
              <w:ind w:firstLine="0" w:firstLineChars="0"/>
              <w:textAlignment w:val="auto"/>
              <w:rPr>
                <w:rFonts w:ascii="宋体" w:hAnsi="宋体" w:eastAsia="宋体" w:cs="宋体"/>
                <w:kern w:val="0"/>
                <w:sz w:val="21"/>
                <w:szCs w:val="21"/>
              </w:rPr>
            </w:pPr>
            <w:r>
              <w:rPr>
                <w:rFonts w:ascii="宋体" w:hAnsi="宋体" w:eastAsia="宋体" w:cs="宋体"/>
                <w:kern w:val="0"/>
                <w:sz w:val="21"/>
                <w:szCs w:val="21"/>
              </w:rPr>
              <w:t>1、所有责任领导为第一责任人外；大雨抢险期间除办公室安排值班人员外。其余人员全部上街值守；2、大雨抢险期间，所有责任领导带领责任单位人员按要求到责任地段值守，要求穿制服并自带工具参与排渍工作，迟到或缺席，全局通报批评，并予以罚款；3、所有技术责任人员在防洪期间必须关注天气预报，在大雨时要及时开通泵站，疏通各雨水进口，做</w:t>
            </w:r>
            <w:r>
              <w:rPr>
                <w:rFonts w:hint="eastAsia" w:ascii="宋体" w:hAnsi="宋体" w:eastAsia="宋体" w:cs="宋体"/>
                <w:kern w:val="0"/>
                <w:sz w:val="21"/>
                <w:szCs w:val="21"/>
              </w:rPr>
              <w:t>好排水设施维护工作；</w:t>
            </w:r>
            <w:r>
              <w:rPr>
                <w:rFonts w:ascii="宋体" w:hAnsi="宋体" w:eastAsia="宋体" w:cs="宋体"/>
                <w:kern w:val="0"/>
                <w:sz w:val="21"/>
                <w:szCs w:val="21"/>
              </w:rPr>
              <w:t>4、经济开发区和东岳路街办要及时到责任路段疏导维护，架设排水泵，及时抽排，确保人民群众生命财产安全；5、城管局（环卫局）负责组织管理人员和保洁公司及时清除清运垃圾，雨停后组织街道冲洗；6、城管局（园林局）负责对城区倒树歪苗及时扶正和管护，做好保绿抢险工作；7、防洪排渍期间，城管局（排水管理处）负责安排人员全天候值班和巡查，做好应急处理工作。巡查责任人：姜武义、李春成8、防洪排渍期间，局组织60人的应急抢险队，所有人员24小时开通手机待命；9、防洪排渍期间，所有责任人员必须开通通讯工具，发现关机或联系不上，全局通报批评，并予罚款及追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东风东路</w:t>
            </w:r>
            <w:r>
              <w:rPr>
                <w:rFonts w:hint="eastAsia" w:ascii="宋体" w:hAnsi="宋体" w:eastAsia="宋体" w:cs="宋体"/>
                <w:kern w:val="0"/>
                <w:sz w:val="21"/>
                <w:szCs w:val="21"/>
                <w:lang w:val="en-US" w:eastAsia="zh-CN"/>
              </w:rPr>
              <w:t>武</w:t>
            </w:r>
            <w:r>
              <w:rPr>
                <w:rFonts w:hint="eastAsia" w:ascii="宋体" w:hAnsi="宋体" w:eastAsia="宋体" w:cs="宋体"/>
                <w:kern w:val="0"/>
                <w:sz w:val="21"/>
                <w:szCs w:val="21"/>
              </w:rPr>
              <w:t>九铁路桥</w:t>
            </w:r>
          </w:p>
        </w:tc>
        <w:tc>
          <w:tcPr>
            <w:tcW w:w="604"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东岳路办事处</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苑家咀居民区</w:t>
            </w:r>
          </w:p>
        </w:tc>
        <w:tc>
          <w:tcPr>
            <w:tcW w:w="604"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东岳路办事处</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青龙路绿茵长廊</w:t>
            </w:r>
          </w:p>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矿委转盘</w:t>
            </w:r>
          </w:p>
        </w:tc>
        <w:tc>
          <w:tcPr>
            <w:tcW w:w="604"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吕叙军</w:t>
            </w: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城管局</w:t>
            </w:r>
          </w:p>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（城管执法督察大队）</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金湾国际酒店转盘</w:t>
            </w:r>
          </w:p>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下叶巷</w:t>
            </w:r>
          </w:p>
        </w:tc>
        <w:tc>
          <w:tcPr>
            <w:tcW w:w="604"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刘香元</w:t>
            </w: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城管局</w:t>
            </w:r>
          </w:p>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（办公室、财务股、园林局）</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敬业场</w:t>
            </w:r>
          </w:p>
        </w:tc>
        <w:tc>
          <w:tcPr>
            <w:tcW w:w="604"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刘香元</w:t>
            </w: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城管局</w:t>
            </w:r>
            <w:r>
              <w:rPr>
                <w:rFonts w:ascii="宋体" w:hAnsi="宋体" w:eastAsia="宋体" w:cs="宋体"/>
                <w:kern w:val="0"/>
                <w:sz w:val="21"/>
                <w:szCs w:val="21"/>
              </w:rPr>
              <w:br w:type="textWrapping"/>
            </w:r>
            <w:r>
              <w:rPr>
                <w:rFonts w:hint="eastAsia" w:ascii="宋体" w:hAnsi="宋体" w:eastAsia="宋体" w:cs="宋体"/>
                <w:kern w:val="0"/>
                <w:sz w:val="21"/>
                <w:szCs w:val="21"/>
              </w:rPr>
              <w:t>（环卫局、环卫股）</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金湖大道</w:t>
            </w:r>
          </w:p>
        </w:tc>
        <w:tc>
          <w:tcPr>
            <w:tcW w:w="604"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程青松</w:t>
            </w: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城管局</w:t>
            </w:r>
          </w:p>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（公园管理处）</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东风路学校</w:t>
            </w:r>
          </w:p>
        </w:tc>
        <w:tc>
          <w:tcPr>
            <w:tcW w:w="604"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吕叙军</w:t>
            </w: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城管局</w:t>
            </w:r>
          </w:p>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（法宣科、综合执法股）</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快速路铁路桥洞</w:t>
            </w:r>
          </w:p>
        </w:tc>
        <w:tc>
          <w:tcPr>
            <w:tcW w:w="604" w:type="pct"/>
            <w:vMerge w:val="restart"/>
            <w:shd w:val="clear" w:color="auto" w:fill="auto"/>
            <w:vAlign w:val="center"/>
          </w:tcPr>
          <w:p>
            <w:pPr>
              <w:widowControl/>
              <w:spacing w:line="240" w:lineRule="auto"/>
              <w:ind w:firstLine="0" w:firstLineChars="0"/>
              <w:jc w:val="center"/>
              <w:textAlignment w:val="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许加兵</w:t>
            </w: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高新区</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下黄村居民户</w:t>
            </w:r>
          </w:p>
        </w:tc>
        <w:tc>
          <w:tcPr>
            <w:tcW w:w="604"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高新区</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大棋铁路桥洞</w:t>
            </w:r>
          </w:p>
        </w:tc>
        <w:tc>
          <w:tcPr>
            <w:tcW w:w="604"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高新区</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站前大道铁路桥洞</w:t>
            </w:r>
          </w:p>
        </w:tc>
        <w:tc>
          <w:tcPr>
            <w:tcW w:w="604"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c>
          <w:tcPr>
            <w:tcW w:w="1450" w:type="pct"/>
            <w:shd w:val="clear" w:color="auto" w:fill="auto"/>
            <w:vAlign w:val="center"/>
          </w:tcPr>
          <w:p>
            <w:pPr>
              <w:widowControl/>
              <w:spacing w:line="240" w:lineRule="auto"/>
              <w:ind w:firstLine="0" w:firstLineChars="0"/>
              <w:jc w:val="center"/>
              <w:textAlignment w:val="auto"/>
              <w:rPr>
                <w:rFonts w:ascii="宋体" w:hAnsi="宋体" w:eastAsia="宋体" w:cs="宋体"/>
                <w:kern w:val="0"/>
                <w:sz w:val="21"/>
                <w:szCs w:val="21"/>
              </w:rPr>
            </w:pPr>
            <w:r>
              <w:rPr>
                <w:rFonts w:hint="eastAsia" w:ascii="宋体" w:hAnsi="宋体" w:eastAsia="宋体" w:cs="宋体"/>
                <w:kern w:val="0"/>
                <w:sz w:val="21"/>
                <w:szCs w:val="21"/>
              </w:rPr>
              <w:t>高新区</w:t>
            </w:r>
          </w:p>
        </w:tc>
        <w:tc>
          <w:tcPr>
            <w:tcW w:w="1736" w:type="pct"/>
            <w:vMerge w:val="continue"/>
            <w:vAlign w:val="center"/>
          </w:tcPr>
          <w:p>
            <w:pPr>
              <w:widowControl/>
              <w:spacing w:line="240" w:lineRule="auto"/>
              <w:ind w:firstLine="0" w:firstLineChars="0"/>
              <w:jc w:val="left"/>
              <w:textAlignment w:val="auto"/>
              <w:rPr>
                <w:rFonts w:ascii="宋体" w:hAnsi="宋体" w:eastAsia="宋体" w:cs="宋体"/>
                <w:kern w:val="0"/>
                <w:sz w:val="21"/>
                <w:szCs w:val="21"/>
              </w:rPr>
            </w:pPr>
          </w:p>
        </w:tc>
      </w:tr>
    </w:tbl>
    <w:p>
      <w:pPr>
        <w:topLinePunct/>
        <w:ind w:firstLine="480"/>
        <w:rPr>
          <w:highlight w:val="yellow"/>
        </w:rPr>
      </w:pPr>
    </w:p>
    <w:p>
      <w:pPr>
        <w:topLinePunct/>
        <w:ind w:firstLine="480"/>
        <w:rPr>
          <w:highlight w:val="yellow"/>
        </w:rPr>
      </w:pPr>
    </w:p>
    <w:p>
      <w:pPr>
        <w:topLinePunct/>
        <w:ind w:firstLine="480"/>
        <w:rPr>
          <w:highlight w:val="yellow"/>
        </w:rPr>
        <w:sectPr>
          <w:pgSz w:w="11906" w:h="16838"/>
          <w:pgMar w:top="1418" w:right="1134" w:bottom="1418" w:left="1701" w:header="851" w:footer="992" w:gutter="0"/>
          <w:cols w:space="425" w:num="1"/>
          <w:docGrid w:type="lines" w:linePitch="326" w:charSpace="0"/>
        </w:sectPr>
      </w:pPr>
    </w:p>
    <w:p>
      <w:pPr>
        <w:pStyle w:val="2"/>
        <w:topLinePunct/>
        <w:spacing w:line="240" w:lineRule="auto"/>
        <w:ind w:firstLine="0" w:firstLineChars="0"/>
        <w:jc w:val="center"/>
      </w:pPr>
      <w:bookmarkStart w:id="72" w:name="_Toc134984873"/>
      <w:bookmarkStart w:id="73" w:name="_Toc133666668"/>
      <w:r>
        <w:rPr>
          <w:rFonts w:hint="eastAsia"/>
        </w:rPr>
        <w:t>四、应急组织体系及职责</w:t>
      </w:r>
      <w:bookmarkEnd w:id="72"/>
      <w:bookmarkEnd w:id="73"/>
    </w:p>
    <w:p>
      <w:pPr>
        <w:pStyle w:val="3"/>
        <w:topLinePunct/>
        <w:ind w:firstLine="0" w:firstLineChars="0"/>
      </w:pPr>
      <w:bookmarkStart w:id="74" w:name="_Toc134984874"/>
      <w:bookmarkStart w:id="75" w:name="_Toc133666669"/>
      <w:r>
        <w:rPr>
          <w:rFonts w:hint="eastAsia"/>
        </w:rPr>
        <w:t>（一）组织指挥体系</w:t>
      </w:r>
      <w:bookmarkEnd w:id="74"/>
      <w:bookmarkEnd w:id="75"/>
    </w:p>
    <w:p>
      <w:pPr>
        <w:pStyle w:val="22"/>
        <w:topLinePunct/>
        <w:ind w:firstLine="560"/>
        <w:rPr>
          <w:szCs w:val="28"/>
        </w:rPr>
      </w:pPr>
      <w:r>
        <w:rPr>
          <w:rFonts w:hint="eastAsia"/>
          <w:szCs w:val="28"/>
        </w:rPr>
        <w:t>大冶市防汛抗旱指挥部（市防指）作为极端降雨城市内涝应急处置指挥，依托防汛抗旱体系，负责指挥、统筹协调、督查指导极端降雨城市内涝应急处置工作。城市防洪（排渍）指挥部作为极端降雨城市内涝应急处置的分指挥部。</w:t>
      </w:r>
    </w:p>
    <w:p>
      <w:pPr>
        <w:pStyle w:val="22"/>
        <w:topLinePunct/>
        <w:ind w:firstLine="560"/>
        <w:rPr>
          <w:szCs w:val="28"/>
        </w:rPr>
      </w:pPr>
      <w:r>
        <w:rPr>
          <w:rFonts w:hint="eastAsia"/>
          <w:szCs w:val="28"/>
        </w:rPr>
        <w:t>市防指由市委、市人大、市政府、市政协、市人武部及有关部门、单位、企业组成，在市委、市政府和上级防汛抗旱指挥机构指导下开展工作。市委书记、市长任指挥长，市委副书记、常务副市长任常务副指挥长，市委、市政府领导和人武，部领导任副指挥长。市纪委监委机关、市委办公室、市政府办公室、市委督查室、市委组织部、市委宣传部、市委政法委、市人武部、市发改局、市经信局、市公安局、市民政局、市财政局、市教育局、市资规局、市住建局、市城管执法局、市交通运输局、市水利和湖泊局、市农业农村局、市商务局、市文旅局、市卫健局、市应急管理局、市融媒体中心、市气象局、市交警大队、市机关事务服务中心、大冶湖枢纽工程管理站、市供电公司、市水务集团、中国电信、中国移动、中国联通公司大冶分公司、武钢金山店铁矿、有色铜绿山矿、湖北三鑫公司、有色铜山口铜矿等单位为指挥部成员单位。</w:t>
      </w:r>
    </w:p>
    <w:p>
      <w:pPr>
        <w:pStyle w:val="22"/>
        <w:topLinePunct/>
        <w:ind w:firstLine="560"/>
      </w:pPr>
      <w:r>
        <w:rPr>
          <w:rFonts w:hint="eastAsia"/>
          <w:szCs w:val="28"/>
        </w:rPr>
        <w:t>市防指内设市防汛抗旱指挥部办公室（以下简称市防办）和综合协调组、工程技术组、后勤物资装备组、医疗防疫组、灾民安置组、次生灾害组、综合信息组、督查督导组等8个工作小组。市防办设在市水利和湖泊局。市水利和湖泊局局长、市应急管理局局长任办公室主任，市水利和湖泊局、市应急管理局分管负责人任常务副主任。城市防洪（排渍）指挥部设在市城管执法局，由市政府副市长任指挥长，市政府办公室副主任、市城管</w:t>
      </w:r>
      <w:r>
        <w:rPr>
          <w:szCs w:val="28"/>
        </w:rPr>
        <w:t>执</w:t>
      </w:r>
      <w:r>
        <w:rPr>
          <w:rFonts w:hint="eastAsia"/>
          <w:szCs w:val="28"/>
        </w:rPr>
        <w:t>法局局长任副指挥长。</w:t>
      </w:r>
    </w:p>
    <w:p>
      <w:pPr>
        <w:pStyle w:val="3"/>
        <w:topLinePunct/>
        <w:ind w:firstLine="0" w:firstLineChars="0"/>
      </w:pPr>
      <w:bookmarkStart w:id="76" w:name="_Toc134984875"/>
      <w:bookmarkStart w:id="77" w:name="_Toc133666670"/>
      <w:r>
        <w:rPr>
          <w:rFonts w:hint="eastAsia"/>
        </w:rPr>
        <w:t>（二）成员单位职责</w:t>
      </w:r>
      <w:bookmarkEnd w:id="76"/>
      <w:bookmarkEnd w:id="77"/>
    </w:p>
    <w:p>
      <w:pPr>
        <w:pStyle w:val="4"/>
        <w:topLinePunct/>
        <w:spacing w:before="0" w:after="0" w:line="360" w:lineRule="auto"/>
        <w:ind w:firstLine="0" w:firstLineChars="0"/>
        <w:rPr>
          <w:sz w:val="28"/>
          <w:szCs w:val="28"/>
        </w:rPr>
      </w:pPr>
      <w:bookmarkStart w:id="78" w:name="_Toc133666671"/>
      <w:bookmarkStart w:id="79" w:name="_Toc134984876"/>
      <w:r>
        <w:rPr>
          <w:sz w:val="28"/>
          <w:szCs w:val="28"/>
        </w:rPr>
        <w:t>1</w:t>
      </w:r>
      <w:r>
        <w:rPr>
          <w:rFonts w:hint="eastAsia"/>
          <w:sz w:val="28"/>
          <w:szCs w:val="28"/>
        </w:rPr>
        <w:t>、市防指主要职责</w:t>
      </w:r>
      <w:bookmarkEnd w:id="78"/>
      <w:bookmarkEnd w:id="79"/>
    </w:p>
    <w:p>
      <w:pPr>
        <w:topLinePunct/>
        <w:ind w:firstLine="560"/>
        <w:rPr>
          <w:rFonts w:asciiTheme="minorHAnsi" w:hAnsiTheme="minorHAnsi"/>
          <w:sz w:val="28"/>
          <w:szCs w:val="28"/>
        </w:rPr>
      </w:pPr>
      <w:r>
        <w:rPr>
          <w:rFonts w:hint="eastAsia"/>
          <w:sz w:val="28"/>
          <w:szCs w:val="28"/>
        </w:rPr>
        <w:t>市防汛抗旱指挥部主要负责领导、组织、监督、协调极端降雨城市内涝应急抢险工作，贯彻实施有关城市排水防涝工作的法律法规和方针政策，承担市委、市政府交办的其他应急抢险工作任务，组织临机会商，调度重点防范地区，部署防范工作，视情决定采取“三停”（停工、停业、停课）措施，适时要求关闭地下空间、疏散受威胁区群众，必要时派出督导组、专家组前置重点地区指导防范工作。</w:t>
      </w:r>
    </w:p>
    <w:p>
      <w:pPr>
        <w:topLinePunct/>
        <w:ind w:firstLine="560"/>
        <w:rPr>
          <w:rFonts w:asciiTheme="minorHAnsi" w:hAnsiTheme="minorHAnsi"/>
          <w:sz w:val="28"/>
          <w:szCs w:val="28"/>
        </w:rPr>
      </w:pPr>
      <w:r>
        <w:rPr>
          <w:rFonts w:hint="eastAsia"/>
          <w:sz w:val="28"/>
          <w:szCs w:val="28"/>
        </w:rPr>
        <w:t>市城市防洪（排渍）指挥部负责强化易渍易涝点的监控，实时通报渍水情况，加强技术会商，及时研判汛情发展趋势，做好灾害进一步发展的应对准备，向市防指提出决策建议，领导各成员单位做好相关应急抢险工作。</w:t>
      </w:r>
    </w:p>
    <w:p>
      <w:pPr>
        <w:topLinePunct/>
        <w:ind w:firstLine="560"/>
        <w:rPr>
          <w:rFonts w:asciiTheme="minorHAnsi" w:hAnsiTheme="minorHAnsi"/>
        </w:rPr>
      </w:pPr>
      <w:r>
        <w:rPr>
          <w:rFonts w:hint="eastAsia"/>
          <w:sz w:val="28"/>
          <w:szCs w:val="28"/>
        </w:rPr>
        <w:t>指挥长、副指挥长职责分工见下表。</w:t>
      </w:r>
    </w:p>
    <w:p>
      <w:pPr>
        <w:topLinePunct/>
        <w:ind w:firstLine="0" w:firstLineChars="0"/>
        <w:jc w:val="center"/>
        <w:rPr>
          <w:b/>
        </w:rPr>
      </w:pPr>
      <w:r>
        <w:rPr>
          <w:rFonts w:hint="eastAsia"/>
          <w:b/>
        </w:rPr>
        <w:t>表</w:t>
      </w:r>
      <w:r>
        <w:rPr>
          <w:b/>
        </w:rPr>
        <w:t xml:space="preserve">4-1 </w:t>
      </w:r>
      <w:r>
        <w:rPr>
          <w:rFonts w:hint="eastAsia"/>
          <w:b/>
        </w:rPr>
        <w:t>指挥长、副指挥长职责分工</w:t>
      </w:r>
    </w:p>
    <w:tbl>
      <w:tblPr>
        <w:tblStyle w:val="18"/>
        <w:tblW w:w="497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033"/>
        <w:gridCol w:w="4158"/>
        <w:gridCol w:w="694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073" w:type="pct"/>
            <w:vAlign w:val="center"/>
          </w:tcPr>
          <w:p>
            <w:pPr>
              <w:topLinePunct/>
              <w:spacing w:line="240" w:lineRule="auto"/>
              <w:ind w:firstLine="0" w:firstLineChars="0"/>
              <w:rPr>
                <w:sz w:val="21"/>
                <w:szCs w:val="21"/>
              </w:rPr>
            </w:pPr>
            <w:r>
              <w:rPr>
                <w:sz w:val="21"/>
                <w:szCs w:val="21"/>
              </w:rPr>
              <w:t>指挥部职务</w:t>
            </w:r>
          </w:p>
        </w:tc>
        <w:tc>
          <w:tcPr>
            <w:tcW w:w="1471" w:type="pct"/>
            <w:vAlign w:val="center"/>
          </w:tcPr>
          <w:p>
            <w:pPr>
              <w:topLinePunct/>
              <w:spacing w:line="240" w:lineRule="auto"/>
              <w:ind w:firstLine="0" w:firstLineChars="0"/>
              <w:rPr>
                <w:rFonts w:asciiTheme="minorHAnsi" w:hAnsiTheme="minorHAnsi"/>
                <w:sz w:val="21"/>
                <w:szCs w:val="21"/>
              </w:rPr>
            </w:pPr>
            <w:r>
              <w:rPr>
                <w:sz w:val="21"/>
                <w:szCs w:val="21"/>
              </w:rPr>
              <w:t>单位职务</w:t>
            </w:r>
          </w:p>
        </w:tc>
        <w:tc>
          <w:tcPr>
            <w:tcW w:w="2456" w:type="pct"/>
            <w:vAlign w:val="center"/>
          </w:tcPr>
          <w:p>
            <w:pPr>
              <w:topLinePunct/>
              <w:spacing w:line="240" w:lineRule="auto"/>
              <w:ind w:firstLine="0" w:firstLineChars="0"/>
              <w:rPr>
                <w:rFonts w:asciiTheme="minorHAnsi" w:hAnsiTheme="minorHAnsi"/>
                <w:sz w:val="21"/>
                <w:szCs w:val="21"/>
              </w:rPr>
            </w:pPr>
            <w:r>
              <w:rPr>
                <w:sz w:val="21"/>
                <w:szCs w:val="21"/>
              </w:rPr>
              <w:t>主要职责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073" w:type="pct"/>
            <w:vAlign w:val="center"/>
          </w:tcPr>
          <w:p>
            <w:pPr>
              <w:topLinePunct/>
              <w:spacing w:line="240" w:lineRule="auto"/>
              <w:ind w:firstLine="0" w:firstLineChars="0"/>
              <w:rPr>
                <w:sz w:val="21"/>
                <w:szCs w:val="21"/>
              </w:rPr>
            </w:pPr>
            <w:r>
              <w:rPr>
                <w:sz w:val="21"/>
                <w:szCs w:val="21"/>
              </w:rPr>
              <w:t>指挥长</w:t>
            </w:r>
          </w:p>
        </w:tc>
        <w:tc>
          <w:tcPr>
            <w:tcW w:w="1471" w:type="pct"/>
            <w:vAlign w:val="center"/>
          </w:tcPr>
          <w:p>
            <w:pPr>
              <w:topLinePunct/>
              <w:spacing w:line="240" w:lineRule="auto"/>
              <w:ind w:firstLine="0" w:firstLineChars="0"/>
              <w:rPr>
                <w:rFonts w:asciiTheme="minorHAnsi" w:hAnsiTheme="minorHAnsi"/>
                <w:sz w:val="21"/>
                <w:szCs w:val="21"/>
              </w:rPr>
            </w:pPr>
            <w:r>
              <w:rPr>
                <w:rFonts w:hint="eastAsia"/>
                <w:sz w:val="21"/>
                <w:szCs w:val="21"/>
              </w:rPr>
              <w:t>市委书记、市长</w:t>
            </w:r>
          </w:p>
        </w:tc>
        <w:tc>
          <w:tcPr>
            <w:tcW w:w="2456" w:type="pct"/>
            <w:vAlign w:val="center"/>
          </w:tcPr>
          <w:p>
            <w:pPr>
              <w:topLinePunct/>
              <w:spacing w:line="240" w:lineRule="auto"/>
              <w:ind w:firstLine="0" w:firstLineChars="0"/>
              <w:rPr>
                <w:rFonts w:asciiTheme="minorHAnsi" w:hAnsiTheme="minorHAnsi"/>
                <w:sz w:val="21"/>
                <w:szCs w:val="21"/>
              </w:rPr>
            </w:pPr>
            <w:r>
              <w:rPr>
                <w:sz w:val="21"/>
                <w:szCs w:val="21"/>
              </w:rPr>
              <w:t>全面指挥</w:t>
            </w:r>
            <w:r>
              <w:rPr>
                <w:rFonts w:hint="eastAsia"/>
                <w:sz w:val="21"/>
                <w:szCs w:val="21"/>
              </w:rPr>
              <w:t>极端降雨</w:t>
            </w:r>
            <w:r>
              <w:rPr>
                <w:sz w:val="21"/>
                <w:szCs w:val="21"/>
              </w:rPr>
              <w:t>城市</w:t>
            </w:r>
            <w:r>
              <w:rPr>
                <w:rFonts w:hint="eastAsia"/>
                <w:sz w:val="21"/>
                <w:szCs w:val="21"/>
              </w:rPr>
              <w:t>内涝</w:t>
            </w:r>
            <w:r>
              <w:rPr>
                <w:sz w:val="21"/>
                <w:szCs w:val="21"/>
              </w:rPr>
              <w:t>应急抢险工作。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073" w:type="pct"/>
            <w:vAlign w:val="center"/>
          </w:tcPr>
          <w:p>
            <w:pPr>
              <w:topLinePunct/>
              <w:spacing w:line="240" w:lineRule="auto"/>
              <w:ind w:firstLine="0" w:firstLineChars="0"/>
              <w:rPr>
                <w:sz w:val="21"/>
                <w:szCs w:val="21"/>
              </w:rPr>
            </w:pPr>
            <w:r>
              <w:rPr>
                <w:rFonts w:hint="eastAsia"/>
                <w:sz w:val="21"/>
                <w:szCs w:val="21"/>
              </w:rPr>
              <w:t>常务</w:t>
            </w:r>
            <w:r>
              <w:rPr>
                <w:sz w:val="21"/>
                <w:szCs w:val="21"/>
              </w:rPr>
              <w:t>副指挥长</w:t>
            </w:r>
          </w:p>
        </w:tc>
        <w:tc>
          <w:tcPr>
            <w:tcW w:w="1471" w:type="pct"/>
            <w:vAlign w:val="center"/>
          </w:tcPr>
          <w:p>
            <w:pPr>
              <w:topLinePunct/>
              <w:spacing w:line="240" w:lineRule="auto"/>
              <w:ind w:firstLine="0" w:firstLineChars="0"/>
              <w:rPr>
                <w:rFonts w:asciiTheme="minorHAnsi" w:hAnsiTheme="minorHAnsi"/>
                <w:sz w:val="21"/>
                <w:szCs w:val="21"/>
              </w:rPr>
            </w:pPr>
            <w:r>
              <w:rPr>
                <w:rFonts w:hint="eastAsia"/>
                <w:sz w:val="21"/>
                <w:szCs w:val="21"/>
              </w:rPr>
              <w:t>市委副书记、</w:t>
            </w:r>
          </w:p>
          <w:p>
            <w:pPr>
              <w:topLinePunct/>
              <w:spacing w:line="240" w:lineRule="auto"/>
              <w:ind w:firstLine="0" w:firstLineChars="0"/>
              <w:rPr>
                <w:rFonts w:asciiTheme="minorHAnsi" w:hAnsiTheme="minorHAnsi"/>
                <w:sz w:val="21"/>
                <w:szCs w:val="21"/>
              </w:rPr>
            </w:pPr>
            <w:r>
              <w:rPr>
                <w:rFonts w:hint="eastAsia"/>
                <w:sz w:val="21"/>
                <w:szCs w:val="21"/>
              </w:rPr>
              <w:t>市政府常务副市长</w:t>
            </w:r>
          </w:p>
        </w:tc>
        <w:tc>
          <w:tcPr>
            <w:tcW w:w="2456" w:type="pct"/>
            <w:vAlign w:val="center"/>
          </w:tcPr>
          <w:p>
            <w:pPr>
              <w:topLinePunct/>
              <w:spacing w:line="240" w:lineRule="auto"/>
              <w:ind w:firstLine="0" w:firstLineChars="0"/>
              <w:rPr>
                <w:rFonts w:asciiTheme="minorHAnsi" w:hAnsiTheme="minorHAnsi"/>
                <w:sz w:val="21"/>
                <w:szCs w:val="21"/>
              </w:rPr>
            </w:pPr>
            <w:r>
              <w:rPr>
                <w:sz w:val="21"/>
                <w:szCs w:val="21"/>
              </w:rPr>
              <w:t>协助指挥</w:t>
            </w:r>
            <w:r>
              <w:rPr>
                <w:rFonts w:hint="eastAsia"/>
                <w:sz w:val="21"/>
                <w:szCs w:val="21"/>
              </w:rPr>
              <w:t>极端降雨</w:t>
            </w:r>
            <w:r>
              <w:rPr>
                <w:sz w:val="21"/>
                <w:szCs w:val="21"/>
              </w:rPr>
              <w:t>城市</w:t>
            </w:r>
            <w:r>
              <w:rPr>
                <w:rFonts w:hint="eastAsia"/>
                <w:sz w:val="21"/>
                <w:szCs w:val="21"/>
              </w:rPr>
              <w:t>内涝</w:t>
            </w:r>
            <w:r>
              <w:rPr>
                <w:sz w:val="21"/>
                <w:szCs w:val="21"/>
              </w:rPr>
              <w:t>应急抢险，负责指挥部日常工作。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073" w:type="pct"/>
            <w:vAlign w:val="center"/>
          </w:tcPr>
          <w:p>
            <w:pPr>
              <w:topLinePunct/>
              <w:spacing w:line="240" w:lineRule="auto"/>
              <w:ind w:firstLine="0" w:firstLineChars="0"/>
              <w:rPr>
                <w:sz w:val="21"/>
                <w:szCs w:val="21"/>
              </w:rPr>
            </w:pPr>
            <w:r>
              <w:rPr>
                <w:sz w:val="21"/>
                <w:szCs w:val="21"/>
              </w:rPr>
              <w:t>副指挥长</w:t>
            </w:r>
          </w:p>
        </w:tc>
        <w:tc>
          <w:tcPr>
            <w:tcW w:w="1471" w:type="pct"/>
            <w:vAlign w:val="center"/>
          </w:tcPr>
          <w:p>
            <w:pPr>
              <w:topLinePunct/>
              <w:spacing w:line="240" w:lineRule="auto"/>
              <w:ind w:firstLine="0" w:firstLineChars="0"/>
              <w:rPr>
                <w:rFonts w:asciiTheme="minorHAnsi" w:hAnsiTheme="minorHAnsi"/>
                <w:sz w:val="21"/>
                <w:szCs w:val="21"/>
              </w:rPr>
            </w:pPr>
            <w:r>
              <w:rPr>
                <w:rFonts w:hint="eastAsia"/>
                <w:sz w:val="21"/>
                <w:szCs w:val="21"/>
              </w:rPr>
              <w:t>市委、市政府分管领导</w:t>
            </w:r>
          </w:p>
        </w:tc>
        <w:tc>
          <w:tcPr>
            <w:tcW w:w="2456" w:type="pct"/>
            <w:vAlign w:val="center"/>
          </w:tcPr>
          <w:p>
            <w:pPr>
              <w:topLinePunct/>
              <w:spacing w:line="240" w:lineRule="auto"/>
              <w:ind w:firstLine="0" w:firstLineChars="0"/>
              <w:rPr>
                <w:rFonts w:asciiTheme="minorHAnsi" w:hAnsiTheme="minorHAnsi"/>
                <w:sz w:val="21"/>
                <w:szCs w:val="21"/>
              </w:rPr>
            </w:pPr>
            <w:r>
              <w:rPr>
                <w:sz w:val="21"/>
                <w:szCs w:val="21"/>
              </w:rPr>
              <w:t>协助指挥</w:t>
            </w:r>
            <w:r>
              <w:rPr>
                <w:rFonts w:hint="eastAsia"/>
                <w:sz w:val="21"/>
                <w:szCs w:val="21"/>
              </w:rPr>
              <w:t>极端降雨</w:t>
            </w:r>
            <w:r>
              <w:rPr>
                <w:sz w:val="21"/>
                <w:szCs w:val="21"/>
              </w:rPr>
              <w:t>城市</w:t>
            </w:r>
            <w:r>
              <w:rPr>
                <w:rFonts w:hint="eastAsia"/>
                <w:sz w:val="21"/>
                <w:szCs w:val="21"/>
              </w:rPr>
              <w:t>内涝</w:t>
            </w:r>
            <w:r>
              <w:rPr>
                <w:sz w:val="21"/>
                <w:szCs w:val="21"/>
              </w:rPr>
              <w:t>应急抢险工作。</w:t>
            </w:r>
          </w:p>
        </w:tc>
      </w:tr>
    </w:tbl>
    <w:p>
      <w:pPr>
        <w:pStyle w:val="4"/>
        <w:topLinePunct/>
        <w:spacing w:before="0" w:after="0" w:line="360" w:lineRule="auto"/>
        <w:ind w:firstLine="0" w:firstLineChars="0"/>
        <w:rPr>
          <w:sz w:val="28"/>
          <w:szCs w:val="28"/>
        </w:rPr>
      </w:pPr>
      <w:bookmarkStart w:id="80" w:name="_Toc134984877"/>
      <w:r>
        <w:rPr>
          <w:rFonts w:hint="eastAsia"/>
          <w:sz w:val="28"/>
          <w:szCs w:val="28"/>
        </w:rPr>
        <w:t>2、成员单位职责</w:t>
      </w:r>
      <w:bookmarkEnd w:id="80"/>
    </w:p>
    <w:p>
      <w:pPr>
        <w:topLinePunct/>
        <w:ind w:firstLine="560"/>
        <w:rPr>
          <w:color w:val="FF0000"/>
          <w:sz w:val="28"/>
          <w:szCs w:val="28"/>
        </w:rPr>
      </w:pPr>
      <w:r>
        <w:rPr>
          <w:rFonts w:hint="eastAsia"/>
          <w:sz w:val="28"/>
          <w:szCs w:val="28"/>
        </w:rPr>
        <w:t>市人武部：协助市城市防洪（排渍）指挥部工作。</w:t>
      </w:r>
    </w:p>
    <w:p>
      <w:pPr>
        <w:topLinePunct/>
        <w:ind w:firstLine="560"/>
        <w:rPr>
          <w:sz w:val="28"/>
          <w:szCs w:val="28"/>
        </w:rPr>
      </w:pPr>
      <w:r>
        <w:rPr>
          <w:rFonts w:hint="eastAsia"/>
          <w:sz w:val="28"/>
          <w:szCs w:val="28"/>
        </w:rPr>
        <w:t>市发改局：负责将防灾减灾工作纳入国民经济和社会发展规划；负责做好城市排水设施建设及抢险救援、灾后重建等项目审批立项工作。</w:t>
      </w:r>
    </w:p>
    <w:p>
      <w:pPr>
        <w:topLinePunct/>
        <w:ind w:firstLine="560"/>
        <w:rPr>
          <w:sz w:val="28"/>
          <w:szCs w:val="28"/>
        </w:rPr>
      </w:pPr>
      <w:r>
        <w:rPr>
          <w:rFonts w:hint="eastAsia"/>
          <w:sz w:val="28"/>
          <w:szCs w:val="28"/>
        </w:rPr>
        <w:t>市经信局：负责协调通信运营商做好极端降雨城市内涝应急抢险期间的通信保障，协调电力部门做好电力保障工作。</w:t>
      </w:r>
    </w:p>
    <w:p>
      <w:pPr>
        <w:topLinePunct/>
        <w:ind w:firstLine="560"/>
        <w:rPr>
          <w:sz w:val="28"/>
          <w:szCs w:val="28"/>
        </w:rPr>
      </w:pPr>
      <w:r>
        <w:rPr>
          <w:rFonts w:hint="eastAsia"/>
          <w:sz w:val="28"/>
          <w:szCs w:val="28"/>
        </w:rPr>
        <w:t>市公安局：做好可能发生积水路段、桥隧的交通管控和疏导的准备工作。保证车辆运行安全和主要交通干道畅通，协助组织群众从危险地区安全撤离或转移。</w:t>
      </w:r>
    </w:p>
    <w:p>
      <w:pPr>
        <w:topLinePunct/>
        <w:ind w:firstLine="560"/>
        <w:rPr>
          <w:sz w:val="28"/>
          <w:szCs w:val="28"/>
        </w:rPr>
      </w:pPr>
      <w:r>
        <w:rPr>
          <w:rFonts w:hint="eastAsia"/>
          <w:sz w:val="28"/>
          <w:szCs w:val="28"/>
        </w:rPr>
        <w:t>市民政局：负责福利机构、救助机构的防汛工作，协同市应急管理局做好全市内涝抢险救灾工作和灾民的生活救助工作。指导协调做好因内涝灾害而造成的生活无着人员的生活救助管理工作。</w:t>
      </w:r>
    </w:p>
    <w:p>
      <w:pPr>
        <w:topLinePunct/>
        <w:ind w:firstLine="560"/>
        <w:rPr>
          <w:sz w:val="28"/>
          <w:szCs w:val="28"/>
        </w:rPr>
      </w:pPr>
      <w:r>
        <w:rPr>
          <w:rFonts w:hint="eastAsia"/>
          <w:sz w:val="28"/>
          <w:szCs w:val="28"/>
        </w:rPr>
        <w:t>市财政局：负责应急抢险有关经费保障工作；向上级争取应急抢险补助经费；负责相关资金拨付和监管工作。</w:t>
      </w:r>
    </w:p>
    <w:p>
      <w:pPr>
        <w:topLinePunct/>
        <w:ind w:firstLine="560"/>
        <w:rPr>
          <w:sz w:val="28"/>
          <w:szCs w:val="28"/>
        </w:rPr>
      </w:pPr>
      <w:r>
        <w:rPr>
          <w:rFonts w:hint="eastAsia"/>
          <w:sz w:val="28"/>
          <w:szCs w:val="28"/>
        </w:rPr>
        <w:t>市教育局：按市防指要求组织停课，安置滞留师生，组织留校师生开展自救互救。加强对幼儿园、小学等未成年人集中区的指导帮扶，及时提请指挥部协调救援队伍协助开展救援和转移工作。</w:t>
      </w:r>
    </w:p>
    <w:p>
      <w:pPr>
        <w:topLinePunct/>
        <w:ind w:firstLine="560"/>
        <w:rPr>
          <w:sz w:val="28"/>
          <w:szCs w:val="28"/>
        </w:rPr>
      </w:pPr>
      <w:r>
        <w:rPr>
          <w:rFonts w:hint="eastAsia"/>
          <w:sz w:val="28"/>
          <w:szCs w:val="28"/>
        </w:rPr>
        <w:t>市自规局：负责组织监测、预防地质灾害，组织开展对山体滑坡、崩塌、泥石流等地质灾害的调查、勘查、监测预警和救援技术支撑等工作；在国土空间规划、城乡规划管理、矿产资源开发的管理工作中要统筹考虑排水防涝设施。做好城区范围和周边山丘地区地质灾害防范。</w:t>
      </w:r>
    </w:p>
    <w:p>
      <w:pPr>
        <w:topLinePunct/>
        <w:ind w:firstLine="560"/>
        <w:rPr>
          <w:rFonts w:hint="eastAsia"/>
          <w:sz w:val="28"/>
          <w:szCs w:val="28"/>
        </w:rPr>
      </w:pPr>
      <w:r>
        <w:rPr>
          <w:rFonts w:hint="eastAsia"/>
          <w:sz w:val="28"/>
          <w:szCs w:val="28"/>
        </w:rPr>
        <w:t>市住建局：要求受危胁区域的建筑工程适时停工撒离人员，组织好深基坑、在建工地排涝。对受灾风险较大的老旧小区发布通知，督促相关街道社区及时转移人员。</w:t>
      </w:r>
    </w:p>
    <w:p>
      <w:pPr>
        <w:topLinePunct/>
        <w:ind w:firstLine="560"/>
        <w:rPr>
          <w:sz w:val="28"/>
          <w:szCs w:val="28"/>
        </w:rPr>
      </w:pPr>
      <w:r>
        <w:rPr>
          <w:rFonts w:hint="eastAsia"/>
          <w:sz w:val="28"/>
          <w:szCs w:val="28"/>
        </w:rPr>
        <w:t>市城管执法局：负责城市防洪（排渍）指挥部的城区排渍工作。</w:t>
      </w:r>
    </w:p>
    <w:p>
      <w:pPr>
        <w:topLinePunct/>
        <w:ind w:firstLine="560"/>
        <w:rPr>
          <w:sz w:val="28"/>
          <w:szCs w:val="28"/>
        </w:rPr>
      </w:pPr>
      <w:r>
        <w:rPr>
          <w:rFonts w:hint="eastAsia"/>
          <w:sz w:val="28"/>
          <w:szCs w:val="28"/>
        </w:rPr>
        <w:t>市交通运输局：做好管辖范围内道路维护和保通，根据防指指令及时封闭危险道路，及时组织地铁线路停运，撤离疏散管辖范围内的受困群众。按要求做好转移疏散的运力保障。通知运输单位及时停运。</w:t>
      </w:r>
    </w:p>
    <w:p>
      <w:pPr>
        <w:topLinePunct/>
        <w:ind w:firstLine="560"/>
        <w:rPr>
          <w:sz w:val="28"/>
          <w:szCs w:val="28"/>
        </w:rPr>
      </w:pPr>
      <w:r>
        <w:rPr>
          <w:rFonts w:hint="eastAsia"/>
          <w:sz w:val="28"/>
          <w:szCs w:val="28"/>
        </w:rPr>
        <w:t>市水利和湖泊局：根据降雨情况，及时采取应急排涝措施，科学调度蓄水工程调蓄洪水。负责大冶湖连通涵闸指挥调度工作，承担极端降雨城市内涝应急抢险的涉水技术支撑工作，以及技术专家组工作。</w:t>
      </w:r>
    </w:p>
    <w:p>
      <w:pPr>
        <w:topLinePunct/>
        <w:ind w:firstLine="560"/>
        <w:rPr>
          <w:sz w:val="28"/>
          <w:szCs w:val="28"/>
        </w:rPr>
      </w:pPr>
      <w:r>
        <w:rPr>
          <w:rFonts w:hint="eastAsia"/>
          <w:sz w:val="28"/>
          <w:szCs w:val="28"/>
        </w:rPr>
        <w:t>市商务局：负责重要商品市场运行和供求形式的监控，指导地下商业场所及设施，落实极端降雨城市内涝监测预警、应急预案、工程防御等；</w:t>
      </w:r>
    </w:p>
    <w:p>
      <w:pPr>
        <w:topLinePunct/>
        <w:ind w:firstLine="560"/>
        <w:rPr>
          <w:sz w:val="28"/>
          <w:szCs w:val="28"/>
        </w:rPr>
      </w:pPr>
      <w:r>
        <w:rPr>
          <w:rFonts w:hint="eastAsia"/>
          <w:sz w:val="28"/>
          <w:szCs w:val="28"/>
        </w:rPr>
        <w:t>市文化和旅游局：负责开展旅游景区应急抢险工作宣传；及时关停旅游景点，撤离疏散群众；督导景区及时落实各类预警信息。</w:t>
      </w:r>
    </w:p>
    <w:p>
      <w:pPr>
        <w:topLinePunct/>
        <w:ind w:firstLine="560"/>
        <w:rPr>
          <w:sz w:val="28"/>
          <w:szCs w:val="28"/>
        </w:rPr>
      </w:pPr>
      <w:r>
        <w:rPr>
          <w:rFonts w:hint="eastAsia"/>
          <w:sz w:val="28"/>
          <w:szCs w:val="28"/>
        </w:rPr>
        <w:t>市卫生健康局：负责疾病预防控制、医疗救护和卫生防疫工作；组织受伤人员的紧急转送、医疗救护以及急需药品和医疗物资的紧急调配等工作；及时向指挥部提供疫情与防治信息。</w:t>
      </w:r>
    </w:p>
    <w:p>
      <w:pPr>
        <w:topLinePunct/>
        <w:ind w:firstLine="560"/>
        <w:rPr>
          <w:sz w:val="28"/>
          <w:szCs w:val="28"/>
        </w:rPr>
      </w:pPr>
      <w:r>
        <w:rPr>
          <w:rFonts w:hint="eastAsia"/>
          <w:sz w:val="28"/>
          <w:szCs w:val="28"/>
        </w:rPr>
        <w:t>市应急管理局：随时调度灾害发生地区工作开展情况，部署灾害防范应对工作，24小时不间断关注灾害发展。及时成立抢险救援现场指挥部，统筹指导城市内涝抢险专业应急救援力量建设，拟定城市内涝抢险物质和装备储备规划和需求计划，建立应急物质共享和协调机制；组织协调城市内涝应急物资和应急救援装备调拨和紧急配送，建立应急联动机制。做好救灾安置和灾情统计上报。</w:t>
      </w:r>
    </w:p>
    <w:p>
      <w:pPr>
        <w:topLinePunct/>
        <w:ind w:firstLine="560"/>
        <w:rPr>
          <w:sz w:val="28"/>
          <w:szCs w:val="28"/>
        </w:rPr>
      </w:pPr>
      <w:r>
        <w:rPr>
          <w:rFonts w:hint="eastAsia"/>
          <w:sz w:val="28"/>
          <w:szCs w:val="28"/>
        </w:rPr>
        <w:t>市融媒体中心：把握极端降雨城市内涝应急抢险宣传工作导向；负责组织新闻媒体做好宣传工作；指导协调有关部门做好应急抢险的信息发布工作。</w:t>
      </w:r>
    </w:p>
    <w:p>
      <w:pPr>
        <w:topLinePunct/>
        <w:ind w:firstLine="560"/>
        <w:rPr>
          <w:sz w:val="28"/>
          <w:szCs w:val="28"/>
        </w:rPr>
      </w:pPr>
      <w:r>
        <w:rPr>
          <w:rFonts w:hint="eastAsia"/>
          <w:sz w:val="28"/>
          <w:szCs w:val="28"/>
        </w:rPr>
        <w:t>市气象局：加密跟踪监测强降雨天气系统发展情况，强化短时临近预报预警，提高降雨预报量级和范围精准度，持续滚动更新预报结论，并向本级防指和相关单位通报。</w:t>
      </w:r>
    </w:p>
    <w:p>
      <w:pPr>
        <w:topLinePunct/>
        <w:ind w:firstLine="560"/>
        <w:rPr>
          <w:rFonts w:hint="eastAsia"/>
          <w:sz w:val="28"/>
          <w:szCs w:val="28"/>
        </w:rPr>
      </w:pPr>
      <w:r>
        <w:rPr>
          <w:rFonts w:hint="eastAsia"/>
          <w:sz w:val="28"/>
          <w:szCs w:val="28"/>
        </w:rPr>
        <w:t>市交警大队：负责保障极端降雨城市内涝应急抢险期间城区交通道路通畅，按市防指指令依法进行交通管制。</w:t>
      </w:r>
    </w:p>
    <w:p>
      <w:pPr>
        <w:topLinePunct/>
        <w:ind w:firstLine="560"/>
        <w:rPr>
          <w:rFonts w:hint="eastAsia"/>
          <w:sz w:val="28"/>
          <w:szCs w:val="28"/>
        </w:rPr>
      </w:pPr>
      <w:r>
        <w:rPr>
          <w:rFonts w:hint="eastAsia"/>
          <w:sz w:val="28"/>
          <w:szCs w:val="28"/>
        </w:rPr>
        <w:t>巿机关事务服务中心：负责极端降雨城市内涝应急抢险期间应急车辆的安排调度工作。</w:t>
      </w:r>
    </w:p>
    <w:p>
      <w:pPr>
        <w:topLinePunct/>
        <w:ind w:firstLine="560"/>
        <w:rPr>
          <w:sz w:val="28"/>
          <w:szCs w:val="28"/>
        </w:rPr>
      </w:pPr>
      <w:r>
        <w:rPr>
          <w:rFonts w:hint="eastAsia"/>
          <w:sz w:val="28"/>
          <w:szCs w:val="28"/>
        </w:rPr>
        <w:t>市供电公司：负责保障排水泵站、涵闸、污水处理厂、供水厂站、供气站等设施供电安全，提供抢险应急电源。</w:t>
      </w:r>
    </w:p>
    <w:p>
      <w:pPr>
        <w:topLinePunct/>
        <w:ind w:firstLine="560"/>
        <w:rPr>
          <w:sz w:val="28"/>
          <w:szCs w:val="28"/>
        </w:rPr>
      </w:pPr>
      <w:r>
        <w:rPr>
          <w:rFonts w:hint="eastAsia"/>
          <w:sz w:val="28"/>
          <w:szCs w:val="28"/>
        </w:rPr>
        <w:t>市水务集团：负责供水保障，并落实抢险队伍。</w:t>
      </w:r>
    </w:p>
    <w:p>
      <w:pPr>
        <w:pStyle w:val="25"/>
        <w:topLinePunct/>
        <w:ind w:firstLine="560"/>
        <w:rPr>
          <w:rFonts w:hint="eastAsia"/>
          <w:color w:val="FF0000"/>
          <w:sz w:val="28"/>
          <w:szCs w:val="28"/>
        </w:rPr>
      </w:pPr>
      <w:r>
        <w:rPr>
          <w:rFonts w:hint="eastAsia"/>
          <w:sz w:val="28"/>
          <w:szCs w:val="28"/>
        </w:rPr>
        <w:t>中国电信、中国移动、中国联通公司大冶分公司：负责极端降雨城市内涝应急抢险期间的移动通讯保障工作，架设应急通信设施。</w:t>
      </w:r>
    </w:p>
    <w:p>
      <w:pPr>
        <w:pStyle w:val="4"/>
        <w:topLinePunct/>
        <w:spacing w:before="0" w:after="0" w:line="360" w:lineRule="auto"/>
        <w:ind w:firstLine="0" w:firstLineChars="0"/>
        <w:rPr>
          <w:sz w:val="28"/>
          <w:szCs w:val="28"/>
        </w:rPr>
      </w:pPr>
      <w:bookmarkStart w:id="81" w:name="_Toc134984878"/>
      <w:bookmarkStart w:id="82" w:name="_Toc133666672"/>
      <w:r>
        <w:rPr>
          <w:sz w:val="28"/>
          <w:szCs w:val="28"/>
        </w:rPr>
        <w:t>2</w:t>
      </w:r>
      <w:r>
        <w:rPr>
          <w:rFonts w:hint="eastAsia"/>
          <w:sz w:val="28"/>
          <w:szCs w:val="28"/>
        </w:rPr>
        <w:t>、工作组职责</w:t>
      </w:r>
      <w:bookmarkEnd w:id="81"/>
      <w:bookmarkEnd w:id="82"/>
    </w:p>
    <w:p>
      <w:pPr>
        <w:pStyle w:val="25"/>
        <w:topLinePunct/>
        <w:ind w:firstLine="560"/>
        <w:rPr>
          <w:sz w:val="28"/>
          <w:szCs w:val="28"/>
        </w:rPr>
      </w:pPr>
      <w:r>
        <w:rPr>
          <w:rFonts w:hint="eastAsia"/>
          <w:sz w:val="28"/>
          <w:szCs w:val="28"/>
        </w:rPr>
        <w:t>（</w:t>
      </w:r>
      <w:r>
        <w:rPr>
          <w:sz w:val="28"/>
          <w:szCs w:val="28"/>
        </w:rPr>
        <w:t>1</w:t>
      </w:r>
      <w:r>
        <w:rPr>
          <w:rFonts w:hint="eastAsia"/>
          <w:sz w:val="28"/>
          <w:szCs w:val="28"/>
        </w:rPr>
        <w:t>）综合协调组职责</w:t>
      </w:r>
    </w:p>
    <w:p>
      <w:pPr>
        <w:pStyle w:val="25"/>
        <w:topLinePunct/>
        <w:ind w:firstLine="560"/>
        <w:rPr>
          <w:sz w:val="28"/>
          <w:szCs w:val="28"/>
        </w:rPr>
      </w:pPr>
      <w:r>
        <w:rPr>
          <w:rFonts w:hint="eastAsia"/>
          <w:sz w:val="28"/>
          <w:szCs w:val="28"/>
        </w:rPr>
        <w:t>负责市防指的上传下达工作；及时收集掌握雨情、水情、险情、灾情、工情等各种防涝预警信息；组织协调城区排水防涝抢险工作；负责有关协调联络工作。</w:t>
      </w:r>
    </w:p>
    <w:p>
      <w:pPr>
        <w:pStyle w:val="25"/>
        <w:topLinePunct/>
        <w:ind w:firstLine="560"/>
        <w:rPr>
          <w:sz w:val="28"/>
          <w:szCs w:val="28"/>
        </w:rPr>
      </w:pPr>
      <w:bookmarkStart w:id="83" w:name="_Toc28021"/>
      <w:bookmarkStart w:id="84" w:name="_Toc17147"/>
      <w:r>
        <w:rPr>
          <w:rFonts w:hint="eastAsia"/>
          <w:sz w:val="28"/>
          <w:szCs w:val="28"/>
        </w:rPr>
        <w:t>（</w:t>
      </w:r>
      <w:r>
        <w:rPr>
          <w:sz w:val="28"/>
          <w:szCs w:val="28"/>
        </w:rPr>
        <w:t>2</w:t>
      </w:r>
      <w:r>
        <w:rPr>
          <w:rFonts w:hint="eastAsia"/>
          <w:sz w:val="28"/>
          <w:szCs w:val="28"/>
        </w:rPr>
        <w:t>）工程技术职责</w:t>
      </w:r>
      <w:bookmarkEnd w:id="83"/>
      <w:bookmarkEnd w:id="84"/>
    </w:p>
    <w:p>
      <w:pPr>
        <w:pStyle w:val="25"/>
        <w:topLinePunct/>
        <w:ind w:firstLine="560"/>
        <w:rPr>
          <w:sz w:val="28"/>
          <w:szCs w:val="28"/>
        </w:rPr>
      </w:pPr>
      <w:r>
        <w:rPr>
          <w:rFonts w:hint="eastAsia"/>
          <w:sz w:val="28"/>
          <w:szCs w:val="28"/>
        </w:rPr>
        <w:t>负责极端降雨城市内涝应急抢险工作的技术、设备支撑。具体负责协调落实电力、机械、土建、管道、移动泵站等专业技术抢险队伍与设备，组织排水防涝设施、设备及电力系统的抢修、安装、架设，确保排水防涝设施、设备及电力系统正常运行，抢险工作有序开展。</w:t>
      </w:r>
    </w:p>
    <w:p>
      <w:pPr>
        <w:pStyle w:val="25"/>
        <w:topLinePunct/>
        <w:ind w:firstLine="560"/>
        <w:rPr>
          <w:sz w:val="28"/>
          <w:szCs w:val="28"/>
        </w:rPr>
      </w:pPr>
      <w:bookmarkStart w:id="85" w:name="_Toc30394"/>
      <w:bookmarkStart w:id="86" w:name="_Toc28023"/>
      <w:r>
        <w:rPr>
          <w:rFonts w:hint="eastAsia"/>
          <w:sz w:val="28"/>
          <w:szCs w:val="28"/>
        </w:rPr>
        <w:t>（</w:t>
      </w:r>
      <w:r>
        <w:rPr>
          <w:sz w:val="28"/>
          <w:szCs w:val="28"/>
        </w:rPr>
        <w:t>3</w:t>
      </w:r>
      <w:r>
        <w:rPr>
          <w:rFonts w:hint="eastAsia"/>
          <w:sz w:val="28"/>
          <w:szCs w:val="28"/>
        </w:rPr>
        <w:t>）后勤物资装备组职责</w:t>
      </w:r>
      <w:bookmarkEnd w:id="85"/>
      <w:bookmarkEnd w:id="86"/>
    </w:p>
    <w:p>
      <w:pPr>
        <w:pStyle w:val="25"/>
        <w:topLinePunct/>
        <w:ind w:firstLine="560"/>
        <w:rPr>
          <w:sz w:val="28"/>
          <w:szCs w:val="28"/>
        </w:rPr>
      </w:pPr>
      <w:r>
        <w:rPr>
          <w:rFonts w:hint="eastAsia"/>
          <w:sz w:val="28"/>
          <w:szCs w:val="28"/>
        </w:rPr>
        <w:t>负责极端降雨城市内涝应急抢险工作物资的储备与调配使用，保证抢险现场电力、通信、物料供应；保障排水防涝抢险工作需要；保证价格水平基本稳定；保障灾后恢复重建、管理救灾捐赠物资。</w:t>
      </w:r>
    </w:p>
    <w:p>
      <w:pPr>
        <w:pStyle w:val="25"/>
        <w:topLinePunct/>
        <w:ind w:firstLine="560"/>
        <w:rPr>
          <w:sz w:val="28"/>
          <w:szCs w:val="28"/>
        </w:rPr>
      </w:pPr>
      <w:r>
        <w:rPr>
          <w:rFonts w:hint="eastAsia"/>
          <w:sz w:val="28"/>
          <w:szCs w:val="28"/>
        </w:rPr>
        <w:t>（</w:t>
      </w:r>
      <w:r>
        <w:rPr>
          <w:sz w:val="28"/>
          <w:szCs w:val="28"/>
        </w:rPr>
        <w:t>4</w:t>
      </w:r>
      <w:r>
        <w:rPr>
          <w:rFonts w:hint="eastAsia"/>
          <w:sz w:val="28"/>
          <w:szCs w:val="28"/>
        </w:rPr>
        <w:t>）医疗防疫组职责</w:t>
      </w:r>
    </w:p>
    <w:p>
      <w:pPr>
        <w:pStyle w:val="25"/>
        <w:topLinePunct/>
        <w:ind w:firstLine="560"/>
        <w:rPr>
          <w:sz w:val="28"/>
          <w:szCs w:val="28"/>
        </w:rPr>
      </w:pPr>
      <w:r>
        <w:rPr>
          <w:rFonts w:hint="eastAsia"/>
          <w:sz w:val="28"/>
          <w:szCs w:val="28"/>
        </w:rPr>
        <w:t>负责极端降雨城市内涝灾害期间的医疗急救、疫情监测、控制及卫生防疫、消杀等工作。组织医护人员、药品和医疗器械保障工作。</w:t>
      </w:r>
    </w:p>
    <w:p>
      <w:pPr>
        <w:pStyle w:val="25"/>
        <w:topLinePunct/>
        <w:ind w:firstLine="560"/>
        <w:rPr>
          <w:sz w:val="28"/>
          <w:szCs w:val="28"/>
        </w:rPr>
      </w:pPr>
      <w:r>
        <w:rPr>
          <w:rFonts w:hint="eastAsia"/>
          <w:sz w:val="28"/>
          <w:szCs w:val="28"/>
        </w:rPr>
        <w:t>（5）灾民安置组职责</w:t>
      </w:r>
    </w:p>
    <w:p>
      <w:pPr>
        <w:pStyle w:val="25"/>
        <w:topLinePunct/>
        <w:ind w:firstLine="560"/>
        <w:rPr>
          <w:rFonts w:hint="eastAsia"/>
          <w:sz w:val="28"/>
          <w:szCs w:val="28"/>
        </w:rPr>
      </w:pPr>
      <w:r>
        <w:rPr>
          <w:rFonts w:hint="eastAsia"/>
          <w:sz w:val="28"/>
          <w:szCs w:val="28"/>
        </w:rPr>
        <w:t>负责灾情调查、救济款物的管理和发放、受灾群众的登记安置，解决受灾群众的吃、住、穿等基本生活问题，协助和配合医疗救护及卫生防疫组做好救灾工作。</w:t>
      </w:r>
    </w:p>
    <w:p>
      <w:pPr>
        <w:pStyle w:val="25"/>
        <w:topLinePunct/>
        <w:ind w:firstLine="560"/>
        <w:rPr>
          <w:sz w:val="28"/>
          <w:szCs w:val="28"/>
        </w:rPr>
      </w:pPr>
      <w:r>
        <w:rPr>
          <w:rFonts w:hint="eastAsia"/>
          <w:sz w:val="28"/>
          <w:szCs w:val="28"/>
        </w:rPr>
        <w:t>（</w:t>
      </w:r>
      <w:r>
        <w:rPr>
          <w:sz w:val="28"/>
          <w:szCs w:val="28"/>
        </w:rPr>
        <w:t>6</w:t>
      </w:r>
      <w:r>
        <w:rPr>
          <w:rFonts w:hint="eastAsia"/>
          <w:sz w:val="28"/>
          <w:szCs w:val="28"/>
        </w:rPr>
        <w:t>）安全保障组职责</w:t>
      </w:r>
    </w:p>
    <w:p>
      <w:pPr>
        <w:pStyle w:val="25"/>
        <w:topLinePunct/>
        <w:ind w:firstLine="560"/>
        <w:rPr>
          <w:sz w:val="28"/>
          <w:szCs w:val="28"/>
        </w:rPr>
      </w:pPr>
      <w:r>
        <w:rPr>
          <w:rFonts w:hint="eastAsia"/>
          <w:sz w:val="28"/>
          <w:szCs w:val="28"/>
        </w:rPr>
        <w:t>出现内涝灾害时负责维护极端降雨城市内涝应急抢险工作秩序和社会治安秩序，保障泵站值守抢险人员和人民生命财产安全，疏导受灾地区及滞水地区的道路交通，保障指挥、抢险、救灾车辆优先通行；视雨情、汛情变化情况实施交通管制措施；查处破坏排水防涝救灾工作的各类案件，严厉打击违法犯罪活动。</w:t>
      </w:r>
    </w:p>
    <w:p>
      <w:pPr>
        <w:pStyle w:val="25"/>
        <w:topLinePunct/>
        <w:ind w:firstLine="560"/>
        <w:rPr>
          <w:sz w:val="28"/>
          <w:szCs w:val="28"/>
        </w:rPr>
      </w:pPr>
      <w:r>
        <w:rPr>
          <w:rFonts w:hint="eastAsia"/>
          <w:sz w:val="28"/>
          <w:szCs w:val="28"/>
        </w:rPr>
        <w:t>（7）综合信息组职责</w:t>
      </w:r>
    </w:p>
    <w:p>
      <w:pPr>
        <w:pStyle w:val="25"/>
        <w:topLinePunct/>
        <w:ind w:firstLine="560"/>
        <w:rPr>
          <w:sz w:val="28"/>
          <w:szCs w:val="28"/>
        </w:rPr>
      </w:pPr>
      <w:r>
        <w:rPr>
          <w:rFonts w:hint="eastAsia"/>
          <w:sz w:val="28"/>
          <w:szCs w:val="28"/>
        </w:rPr>
        <w:t>负责极端降雨城市内涝应急抢险工作的宣传报道、信息发布、舆论监测监管及引导工作，市委宣传部负责极端降雨城市内涝应急抢险工作相关的网络舆情分析、研判、处置，预警、预报信息信号的对外发布等。</w:t>
      </w:r>
    </w:p>
    <w:p>
      <w:pPr>
        <w:pStyle w:val="25"/>
        <w:topLinePunct/>
        <w:ind w:firstLine="560"/>
        <w:rPr>
          <w:sz w:val="28"/>
          <w:szCs w:val="28"/>
        </w:rPr>
      </w:pPr>
      <w:bookmarkStart w:id="87" w:name="_Toc9680"/>
      <w:bookmarkStart w:id="88" w:name="_Toc25161"/>
      <w:r>
        <w:rPr>
          <w:rFonts w:hint="eastAsia"/>
          <w:sz w:val="28"/>
          <w:szCs w:val="28"/>
        </w:rPr>
        <w:t>（</w:t>
      </w:r>
      <w:r>
        <w:rPr>
          <w:sz w:val="28"/>
          <w:szCs w:val="28"/>
        </w:rPr>
        <w:t>8</w:t>
      </w:r>
      <w:r>
        <w:rPr>
          <w:rFonts w:hint="eastAsia"/>
          <w:sz w:val="28"/>
          <w:szCs w:val="28"/>
        </w:rPr>
        <w:t>）督查督导组职责</w:t>
      </w:r>
      <w:bookmarkEnd w:id="87"/>
      <w:bookmarkEnd w:id="88"/>
    </w:p>
    <w:p>
      <w:pPr>
        <w:pStyle w:val="25"/>
        <w:topLinePunct/>
        <w:ind w:firstLine="560"/>
        <w:rPr>
          <w:sz w:val="28"/>
          <w:szCs w:val="28"/>
        </w:rPr>
      </w:pPr>
      <w:r>
        <w:rPr>
          <w:rFonts w:hint="eastAsia"/>
          <w:sz w:val="28"/>
          <w:szCs w:val="28"/>
        </w:rPr>
        <w:t>监督检查各单位以及个人在极端降雨城市内涝应急抢险工作中的履职尽责情况，对在防汛期间违法违纪行为，进行调查处理，实施问责，制订极端降雨城市内涝应急抢险工作纪律。跟踪督办指挥部下达的文件、通知执行情况，检查、验收排水防涝设施维护、管理情况。</w:t>
      </w:r>
    </w:p>
    <w:p>
      <w:pPr>
        <w:pStyle w:val="25"/>
        <w:topLinePunct/>
        <w:ind w:firstLine="560"/>
        <w:rPr>
          <w:rFonts w:hint="eastAsia"/>
          <w:sz w:val="28"/>
          <w:szCs w:val="28"/>
        </w:rPr>
      </w:pPr>
      <w:r>
        <w:rPr>
          <w:rFonts w:hint="eastAsia"/>
          <w:sz w:val="28"/>
          <w:szCs w:val="28"/>
        </w:rPr>
        <w:t>各组联络员负责工作组成员之间、各工作组之间以及工作组与指挥部之间的通讯联络、协调，保障信息畅通。</w:t>
      </w:r>
    </w:p>
    <w:p>
      <w:pPr>
        <w:pStyle w:val="25"/>
        <w:topLinePunct/>
        <w:ind w:firstLine="560"/>
        <w:rPr>
          <w:sz w:val="28"/>
          <w:szCs w:val="28"/>
        </w:rPr>
      </w:pPr>
      <w:bookmarkStart w:id="160" w:name="_GoBack"/>
      <w:bookmarkEnd w:id="160"/>
    </w:p>
    <w:p>
      <w:pPr>
        <w:pStyle w:val="3"/>
        <w:topLinePunct/>
        <w:ind w:firstLine="0" w:firstLineChars="0"/>
      </w:pPr>
      <w:bookmarkStart w:id="89" w:name="_Toc134984879"/>
      <w:bookmarkStart w:id="90" w:name="_Toc133666673"/>
      <w:r>
        <w:rPr>
          <w:rFonts w:hint="eastAsia"/>
        </w:rPr>
        <w:t>（三）现场指挥调度</w:t>
      </w:r>
      <w:bookmarkEnd w:id="89"/>
      <w:bookmarkEnd w:id="90"/>
    </w:p>
    <w:p>
      <w:pPr>
        <w:topLinePunct/>
        <w:ind w:firstLine="560"/>
        <w:rPr>
          <w:rFonts w:asciiTheme="minorHAnsi" w:hAnsiTheme="minorHAnsi"/>
          <w:sz w:val="28"/>
          <w:szCs w:val="28"/>
        </w:rPr>
      </w:pPr>
      <w:r>
        <w:rPr>
          <w:rFonts w:hint="eastAsia"/>
          <w:sz w:val="28"/>
          <w:szCs w:val="28"/>
        </w:rPr>
        <w:t>根据极端降雨城市内涝灾害分布及程度，成立大冶市各重点防护对象极端降雨城市内涝灾害应急处置现场指挥部，并指定现场指挥长。现场指挥长调度职责如下：</w:t>
      </w:r>
    </w:p>
    <w:p>
      <w:pPr>
        <w:pStyle w:val="25"/>
        <w:topLinePunct/>
        <w:ind w:firstLine="560"/>
        <w:rPr>
          <w:sz w:val="28"/>
          <w:szCs w:val="28"/>
        </w:rPr>
      </w:pPr>
      <w:r>
        <w:rPr>
          <w:sz w:val="28"/>
          <w:szCs w:val="28"/>
        </w:rPr>
        <w:t>1</w:t>
      </w:r>
      <w:r>
        <w:rPr>
          <w:rFonts w:hint="eastAsia"/>
          <w:sz w:val="28"/>
          <w:szCs w:val="28"/>
        </w:rPr>
        <w:t>、督办停止集会、停课、停工、停业、停运等措施落实情况。</w:t>
      </w:r>
    </w:p>
    <w:p>
      <w:pPr>
        <w:pStyle w:val="25"/>
        <w:topLinePunct/>
        <w:ind w:firstLine="560"/>
        <w:rPr>
          <w:sz w:val="28"/>
          <w:szCs w:val="28"/>
        </w:rPr>
      </w:pPr>
      <w:r>
        <w:rPr>
          <w:sz w:val="28"/>
          <w:szCs w:val="28"/>
        </w:rPr>
        <w:t>2</w:t>
      </w:r>
      <w:r>
        <w:rPr>
          <w:rFonts w:hint="eastAsia"/>
          <w:sz w:val="28"/>
          <w:szCs w:val="28"/>
        </w:rPr>
        <w:t>、视降雨情况有序转移所有受威胁人员，优先保障弱势群体、困难群体安全撤离。</w:t>
      </w:r>
    </w:p>
    <w:p>
      <w:pPr>
        <w:pStyle w:val="25"/>
        <w:topLinePunct/>
        <w:ind w:firstLine="560"/>
        <w:rPr>
          <w:sz w:val="28"/>
          <w:szCs w:val="28"/>
        </w:rPr>
      </w:pPr>
      <w:r>
        <w:rPr>
          <w:sz w:val="28"/>
          <w:szCs w:val="28"/>
        </w:rPr>
        <w:t>3</w:t>
      </w:r>
      <w:r>
        <w:rPr>
          <w:rFonts w:hint="eastAsia"/>
          <w:sz w:val="28"/>
          <w:szCs w:val="28"/>
        </w:rPr>
        <w:t>、督办危险区域警戒标识设立和封控措施落实。</w:t>
      </w:r>
    </w:p>
    <w:p>
      <w:pPr>
        <w:pStyle w:val="25"/>
        <w:topLinePunct/>
        <w:ind w:firstLine="560"/>
        <w:rPr>
          <w:sz w:val="28"/>
          <w:szCs w:val="28"/>
        </w:rPr>
      </w:pPr>
      <w:r>
        <w:rPr>
          <w:sz w:val="28"/>
          <w:szCs w:val="28"/>
        </w:rPr>
        <w:t>4</w:t>
      </w:r>
      <w:r>
        <w:rPr>
          <w:rFonts w:hint="eastAsia"/>
          <w:sz w:val="28"/>
          <w:szCs w:val="28"/>
        </w:rPr>
        <w:t>、督办低洼易涝区、城市危旧房、地质灾害防范区、道路交通巡查值守落实情况。</w:t>
      </w:r>
    </w:p>
    <w:p>
      <w:pPr>
        <w:pStyle w:val="25"/>
        <w:topLinePunct/>
        <w:ind w:firstLine="560"/>
        <w:rPr>
          <w:sz w:val="28"/>
          <w:szCs w:val="28"/>
        </w:rPr>
      </w:pPr>
      <w:r>
        <w:rPr>
          <w:sz w:val="28"/>
          <w:szCs w:val="28"/>
        </w:rPr>
        <w:t>5</w:t>
      </w:r>
      <w:r>
        <w:rPr>
          <w:rFonts w:hint="eastAsia"/>
          <w:sz w:val="28"/>
          <w:szCs w:val="28"/>
        </w:rPr>
        <w:t>、根据现场情形请求指挥部援助。</w:t>
      </w:r>
    </w:p>
    <w:p>
      <w:pPr>
        <w:pStyle w:val="25"/>
        <w:topLinePunct/>
        <w:ind w:firstLine="480"/>
      </w:pPr>
    </w:p>
    <w:p>
      <w:pPr>
        <w:pStyle w:val="25"/>
        <w:topLinePunct/>
        <w:ind w:firstLine="480"/>
        <w:sectPr>
          <w:pgSz w:w="16838" w:h="11906" w:orient="landscape"/>
          <w:pgMar w:top="1701" w:right="1418" w:bottom="1134" w:left="1418" w:header="851" w:footer="992" w:gutter="0"/>
          <w:cols w:space="425" w:num="1"/>
          <w:docGrid w:type="lines" w:linePitch="312" w:charSpace="0"/>
        </w:sectPr>
      </w:pPr>
    </w:p>
    <w:p>
      <w:pPr>
        <w:pStyle w:val="2"/>
        <w:topLinePunct/>
        <w:spacing w:line="240" w:lineRule="auto"/>
        <w:ind w:firstLine="0" w:firstLineChars="0"/>
        <w:jc w:val="center"/>
      </w:pPr>
      <w:bookmarkStart w:id="91" w:name="_Toc133666674"/>
      <w:bookmarkStart w:id="92" w:name="_Toc134984880"/>
      <w:r>
        <w:rPr>
          <w:rFonts w:hint="eastAsia"/>
        </w:rPr>
        <w:t>五、预警预防与应急响应</w:t>
      </w:r>
      <w:bookmarkEnd w:id="91"/>
      <w:bookmarkEnd w:id="92"/>
    </w:p>
    <w:p>
      <w:pPr>
        <w:pStyle w:val="3"/>
        <w:topLinePunct/>
        <w:ind w:firstLine="0" w:firstLineChars="0"/>
        <w:rPr>
          <w:color w:val="FF0000"/>
          <w:sz w:val="28"/>
          <w:szCs w:val="28"/>
        </w:rPr>
      </w:pPr>
      <w:bookmarkStart w:id="93" w:name="_Toc133666675"/>
      <w:bookmarkStart w:id="94" w:name="_Toc134984881"/>
      <w:r>
        <w:rPr>
          <w:rFonts w:hint="eastAsia"/>
        </w:rPr>
        <w:t>（一）</w:t>
      </w:r>
      <w:bookmarkEnd w:id="93"/>
      <w:r>
        <w:rPr>
          <w:rFonts w:hint="eastAsia"/>
        </w:rPr>
        <w:t>预防预警</w:t>
      </w:r>
      <w:bookmarkEnd w:id="94"/>
    </w:p>
    <w:p>
      <w:pPr>
        <w:pStyle w:val="4"/>
        <w:topLinePunct/>
        <w:spacing w:before="0" w:after="0" w:line="360" w:lineRule="auto"/>
        <w:ind w:firstLine="0" w:firstLineChars="0"/>
        <w:rPr>
          <w:rFonts w:hint="eastAsia"/>
          <w:sz w:val="28"/>
          <w:szCs w:val="28"/>
        </w:rPr>
      </w:pPr>
      <w:bookmarkStart w:id="95" w:name="_Toc134984882"/>
      <w:r>
        <w:rPr>
          <w:rFonts w:hint="eastAsia"/>
          <w:sz w:val="28"/>
          <w:szCs w:val="28"/>
        </w:rPr>
        <w:t>1、雨情信息</w:t>
      </w:r>
      <w:bookmarkEnd w:id="95"/>
    </w:p>
    <w:p>
      <w:pPr>
        <w:topLinePunct/>
        <w:ind w:firstLine="560"/>
        <w:rPr>
          <w:rFonts w:hint="eastAsia"/>
          <w:color w:val="FF0000"/>
          <w:sz w:val="28"/>
          <w:szCs w:val="28"/>
        </w:rPr>
      </w:pPr>
      <w:r>
        <w:rPr>
          <w:rFonts w:hint="eastAsia"/>
          <w:color w:val="FF0000"/>
          <w:sz w:val="28"/>
          <w:szCs w:val="28"/>
        </w:rPr>
        <w:t>（1）气象部门应加强对当地灾害性天气和水雨情的监测，每天上午9时向市防办提供实时水雨情等相关信息。当降雨量1小时超过50毫米、3小时超过100毫米时，气象部门及时与市防办联系对接，并加密报送水雨情。</w:t>
      </w:r>
    </w:p>
    <w:p>
      <w:pPr>
        <w:topLinePunct/>
        <w:ind w:firstLine="560"/>
        <w:rPr>
          <w:rFonts w:hint="eastAsia"/>
          <w:color w:val="FF0000"/>
          <w:sz w:val="28"/>
          <w:szCs w:val="28"/>
        </w:rPr>
      </w:pPr>
      <w:r>
        <w:rPr>
          <w:rFonts w:hint="eastAsia"/>
          <w:color w:val="FF0000"/>
          <w:sz w:val="28"/>
          <w:szCs w:val="28"/>
        </w:rPr>
        <w:t>（2）气象部门应当按照职责组织对重大灾害性天气和水雨情的监测、预报，尽可能延长预见期，不断提高精度。对重大旱涝灾害趋势作出评估,并将评估结果及时上报市防办。</w:t>
      </w:r>
    </w:p>
    <w:p>
      <w:pPr>
        <w:topLinePunct/>
        <w:ind w:firstLine="560"/>
        <w:rPr>
          <w:color w:val="FF0000"/>
          <w:sz w:val="28"/>
          <w:szCs w:val="28"/>
        </w:rPr>
      </w:pPr>
      <w:r>
        <w:rPr>
          <w:rFonts w:hint="eastAsia"/>
          <w:color w:val="FF0000"/>
          <w:sz w:val="28"/>
          <w:szCs w:val="28"/>
        </w:rPr>
        <w:t>（3）当即将发生严重内涝灾害时，市防指立即向</w:t>
      </w:r>
      <w:r>
        <w:rPr>
          <w:rFonts w:hint="eastAsia"/>
          <w:sz w:val="28"/>
          <w:szCs w:val="28"/>
        </w:rPr>
        <w:t>城市防洪（排渍）指挥部</w:t>
      </w:r>
      <w:r>
        <w:rPr>
          <w:rFonts w:hint="eastAsia"/>
          <w:color w:val="FF0000"/>
          <w:sz w:val="28"/>
          <w:szCs w:val="28"/>
        </w:rPr>
        <w:t>通报，同时向黄石市防指、大冶市政府有关部门报告。</w:t>
      </w:r>
      <w:r>
        <w:rPr>
          <w:rFonts w:hint="eastAsia"/>
          <w:sz w:val="28"/>
          <w:szCs w:val="28"/>
        </w:rPr>
        <w:t>预计未来</w:t>
      </w:r>
      <w:r>
        <w:rPr>
          <w:sz w:val="28"/>
          <w:szCs w:val="28"/>
        </w:rPr>
        <w:t>3</w:t>
      </w:r>
      <w:r>
        <w:rPr>
          <w:rFonts w:hint="eastAsia"/>
          <w:sz w:val="28"/>
          <w:szCs w:val="28"/>
        </w:rPr>
        <w:t>小时降雨量达到</w:t>
      </w:r>
      <w:r>
        <w:rPr>
          <w:sz w:val="28"/>
          <w:szCs w:val="28"/>
        </w:rPr>
        <w:t>100mm</w:t>
      </w:r>
      <w:r>
        <w:rPr>
          <w:rFonts w:hint="eastAsia"/>
          <w:sz w:val="28"/>
          <w:szCs w:val="28"/>
        </w:rPr>
        <w:t>时，应每隔</w:t>
      </w:r>
      <w:r>
        <w:rPr>
          <w:sz w:val="28"/>
          <w:szCs w:val="28"/>
        </w:rPr>
        <w:t>3</w:t>
      </w:r>
      <w:r>
        <w:rPr>
          <w:rFonts w:hint="eastAsia"/>
          <w:sz w:val="28"/>
          <w:szCs w:val="28"/>
        </w:rPr>
        <w:t>小时发布。预计未来</w:t>
      </w:r>
      <w:r>
        <w:rPr>
          <w:sz w:val="28"/>
          <w:szCs w:val="28"/>
        </w:rPr>
        <w:t>3</w:t>
      </w:r>
      <w:r>
        <w:rPr>
          <w:rFonts w:hint="eastAsia"/>
          <w:sz w:val="28"/>
          <w:szCs w:val="28"/>
        </w:rPr>
        <w:t>小时降雨量达到</w:t>
      </w:r>
      <w:r>
        <w:rPr>
          <w:sz w:val="28"/>
          <w:szCs w:val="28"/>
        </w:rPr>
        <w:t>200mm</w:t>
      </w:r>
      <w:r>
        <w:rPr>
          <w:rFonts w:hint="eastAsia"/>
          <w:sz w:val="28"/>
          <w:szCs w:val="28"/>
        </w:rPr>
        <w:t>时，应每隔</w:t>
      </w:r>
      <w:r>
        <w:rPr>
          <w:sz w:val="28"/>
          <w:szCs w:val="28"/>
        </w:rPr>
        <w:t>2</w:t>
      </w:r>
      <w:r>
        <w:rPr>
          <w:rFonts w:hint="eastAsia"/>
          <w:sz w:val="28"/>
          <w:szCs w:val="28"/>
        </w:rPr>
        <w:t>小时报送所在区域未来</w:t>
      </w:r>
      <w:r>
        <w:rPr>
          <w:sz w:val="28"/>
          <w:szCs w:val="28"/>
        </w:rPr>
        <w:t>6</w:t>
      </w:r>
      <w:r>
        <w:rPr>
          <w:rFonts w:hint="eastAsia"/>
          <w:sz w:val="28"/>
          <w:szCs w:val="28"/>
        </w:rPr>
        <w:t>小时的降雨预报；预计未来</w:t>
      </w:r>
      <w:r>
        <w:rPr>
          <w:sz w:val="28"/>
          <w:szCs w:val="28"/>
        </w:rPr>
        <w:t>3</w:t>
      </w:r>
      <w:r>
        <w:rPr>
          <w:rFonts w:hint="eastAsia"/>
          <w:sz w:val="28"/>
          <w:szCs w:val="28"/>
        </w:rPr>
        <w:t>小时降雨量达到</w:t>
      </w:r>
      <w:r>
        <w:rPr>
          <w:sz w:val="28"/>
          <w:szCs w:val="28"/>
        </w:rPr>
        <w:t>250mm</w:t>
      </w:r>
      <w:r>
        <w:rPr>
          <w:rFonts w:hint="eastAsia"/>
          <w:sz w:val="28"/>
          <w:szCs w:val="28"/>
        </w:rPr>
        <w:t>以上时，应每隔</w:t>
      </w:r>
      <w:r>
        <w:rPr>
          <w:sz w:val="28"/>
          <w:szCs w:val="28"/>
        </w:rPr>
        <w:t>1</w:t>
      </w:r>
      <w:r>
        <w:rPr>
          <w:rFonts w:hint="eastAsia"/>
          <w:sz w:val="28"/>
          <w:szCs w:val="28"/>
        </w:rPr>
        <w:t>小时报送所在区域未来</w:t>
      </w:r>
      <w:r>
        <w:rPr>
          <w:sz w:val="28"/>
          <w:szCs w:val="28"/>
        </w:rPr>
        <w:t>6</w:t>
      </w:r>
      <w:r>
        <w:rPr>
          <w:rFonts w:hint="eastAsia"/>
          <w:sz w:val="28"/>
          <w:szCs w:val="28"/>
        </w:rPr>
        <w:t>小时的降雨预报，预测结果须及时向大冶市防汛抗旱指挥部及有关部门报告。</w:t>
      </w:r>
    </w:p>
    <w:p>
      <w:pPr>
        <w:pStyle w:val="4"/>
        <w:topLinePunct/>
        <w:spacing w:before="0" w:after="0" w:line="360" w:lineRule="auto"/>
        <w:ind w:firstLine="0" w:firstLineChars="0"/>
        <w:rPr>
          <w:sz w:val="28"/>
          <w:szCs w:val="28"/>
        </w:rPr>
      </w:pPr>
      <w:bookmarkStart w:id="96" w:name="_Toc133666677"/>
      <w:bookmarkStart w:id="97" w:name="_Toc134984883"/>
      <w:r>
        <w:rPr>
          <w:sz w:val="28"/>
          <w:szCs w:val="28"/>
        </w:rPr>
        <w:t>2</w:t>
      </w:r>
      <w:r>
        <w:rPr>
          <w:rFonts w:hint="eastAsia"/>
          <w:sz w:val="28"/>
          <w:szCs w:val="28"/>
        </w:rPr>
        <w:t>、工情</w:t>
      </w:r>
      <w:bookmarkEnd w:id="96"/>
      <w:r>
        <w:rPr>
          <w:rFonts w:hint="eastAsia"/>
          <w:sz w:val="28"/>
          <w:szCs w:val="28"/>
        </w:rPr>
        <w:t>信息</w:t>
      </w:r>
      <w:bookmarkEnd w:id="97"/>
    </w:p>
    <w:p>
      <w:pPr>
        <w:topLinePunct/>
        <w:ind w:firstLine="560"/>
        <w:rPr>
          <w:rFonts w:asciiTheme="minorHAnsi" w:hAnsiTheme="minorHAnsi"/>
          <w:color w:val="FF0000"/>
          <w:sz w:val="28"/>
          <w:szCs w:val="28"/>
        </w:rPr>
      </w:pPr>
      <w:r>
        <w:rPr>
          <w:rFonts w:hint="eastAsia"/>
          <w:sz w:val="28"/>
          <w:szCs w:val="28"/>
        </w:rPr>
        <w:t>涵闸、泵站管理单位应加强工程监测，当涵闸、泵站等建（构）筑物出现险情或遭遇极端降雨导致超标准洪水袭击以及其他不可抗拒因素而可能导致失事时，工程管理部门应迅速组织抢险，并第一时间向市防指报告，明确出险部位、险情种类、抢护方案、除险情况以及处理险情的责任人名单，以利加强指导或作出进一步的抢险决策。工情监测责任单位为排水管理处。</w:t>
      </w:r>
    </w:p>
    <w:p>
      <w:pPr>
        <w:pStyle w:val="4"/>
        <w:topLinePunct/>
        <w:spacing w:before="0" w:after="0" w:line="360" w:lineRule="auto"/>
        <w:ind w:firstLine="0" w:firstLineChars="0"/>
        <w:rPr>
          <w:sz w:val="28"/>
          <w:szCs w:val="28"/>
        </w:rPr>
      </w:pPr>
      <w:bookmarkStart w:id="98" w:name="_Toc134984884"/>
      <w:r>
        <w:rPr>
          <w:sz w:val="28"/>
          <w:szCs w:val="28"/>
        </w:rPr>
        <w:t>3</w:t>
      </w:r>
      <w:r>
        <w:rPr>
          <w:rFonts w:hint="eastAsia"/>
          <w:sz w:val="28"/>
          <w:szCs w:val="28"/>
        </w:rPr>
        <w:t>、险情信息</w:t>
      </w:r>
      <w:bookmarkEnd w:id="98"/>
    </w:p>
    <w:p>
      <w:pPr>
        <w:topLinePunct/>
        <w:ind w:firstLine="560"/>
        <w:rPr>
          <w:rFonts w:asciiTheme="minorHAnsi" w:hAnsiTheme="minorHAnsi"/>
        </w:rPr>
      </w:pPr>
      <w:r>
        <w:rPr>
          <w:rFonts w:hint="eastAsia"/>
          <w:sz w:val="28"/>
          <w:szCs w:val="28"/>
        </w:rPr>
        <w:t>险情信息主要包括：险情发生的时间、地点、范围、受灾人口，以及群众财产、农林牧渔、交通道路、邮电通信、水电设施等方面的损失。险情监测责任单位为大冶市应急管理局。</w:t>
      </w:r>
    </w:p>
    <w:p>
      <w:pPr>
        <w:pStyle w:val="4"/>
        <w:topLinePunct/>
        <w:spacing w:before="0" w:after="0" w:line="360" w:lineRule="auto"/>
        <w:ind w:firstLine="0" w:firstLineChars="0"/>
        <w:rPr>
          <w:sz w:val="28"/>
          <w:szCs w:val="28"/>
        </w:rPr>
      </w:pPr>
      <w:bookmarkStart w:id="99" w:name="_Toc134984885"/>
      <w:bookmarkStart w:id="100" w:name="_Toc133666679"/>
      <w:r>
        <w:rPr>
          <w:sz w:val="28"/>
          <w:szCs w:val="28"/>
        </w:rPr>
        <w:t>4</w:t>
      </w:r>
      <w:r>
        <w:rPr>
          <w:rFonts w:hint="eastAsia"/>
          <w:sz w:val="28"/>
          <w:szCs w:val="28"/>
        </w:rPr>
        <w:t>、洪水预报</w:t>
      </w:r>
      <w:bookmarkEnd w:id="99"/>
      <w:bookmarkEnd w:id="100"/>
    </w:p>
    <w:p>
      <w:pPr>
        <w:topLinePunct/>
        <w:ind w:firstLine="560"/>
        <w:rPr>
          <w:rFonts w:asciiTheme="minorHAnsi" w:hAnsiTheme="minorHAnsi"/>
          <w:sz w:val="28"/>
          <w:szCs w:val="28"/>
        </w:rPr>
      </w:pPr>
      <w:r>
        <w:rPr>
          <w:rFonts w:hint="eastAsia"/>
          <w:sz w:val="28"/>
          <w:szCs w:val="28"/>
        </w:rPr>
        <w:t>大冶城区洪水预报由市水利和湖泊局负责，包括收集大冶湖流域洪水预报和城区山洪预报，并及时报大冶市防汛抗旱指挥部，为指挥部适时指挥决策提供依据。</w:t>
      </w:r>
    </w:p>
    <w:p>
      <w:pPr>
        <w:pStyle w:val="3"/>
        <w:topLinePunct/>
        <w:ind w:firstLine="0" w:firstLineChars="0"/>
      </w:pPr>
      <w:bookmarkStart w:id="101" w:name="_Toc133666680"/>
      <w:bookmarkStart w:id="102" w:name="_Toc134984886"/>
      <w:r>
        <w:rPr>
          <w:rFonts w:hint="eastAsia"/>
        </w:rPr>
        <w:t>（二）预警条件与发布</w:t>
      </w:r>
      <w:bookmarkEnd w:id="101"/>
      <w:bookmarkEnd w:id="102"/>
    </w:p>
    <w:p>
      <w:pPr>
        <w:pStyle w:val="4"/>
        <w:topLinePunct/>
        <w:spacing w:before="0" w:after="0" w:line="360" w:lineRule="auto"/>
        <w:ind w:firstLine="0" w:firstLineChars="0"/>
        <w:rPr>
          <w:sz w:val="28"/>
          <w:szCs w:val="28"/>
        </w:rPr>
      </w:pPr>
      <w:bookmarkStart w:id="103" w:name="_Toc134984887"/>
      <w:bookmarkStart w:id="104" w:name="_Toc133666681"/>
      <w:r>
        <w:rPr>
          <w:sz w:val="28"/>
          <w:szCs w:val="28"/>
        </w:rPr>
        <w:t>1</w:t>
      </w:r>
      <w:r>
        <w:rPr>
          <w:rFonts w:hint="eastAsia"/>
          <w:sz w:val="28"/>
          <w:szCs w:val="28"/>
        </w:rPr>
        <w:t>、预警条件</w:t>
      </w:r>
      <w:bookmarkEnd w:id="103"/>
      <w:bookmarkEnd w:id="104"/>
    </w:p>
    <w:p>
      <w:pPr>
        <w:topLinePunct/>
        <w:ind w:firstLine="560"/>
        <w:rPr>
          <w:sz w:val="28"/>
          <w:szCs w:val="28"/>
        </w:rPr>
      </w:pPr>
      <w:r>
        <w:rPr>
          <w:rFonts w:hint="eastAsia"/>
          <w:sz w:val="28"/>
          <w:szCs w:val="28"/>
        </w:rPr>
        <w:t>（</w:t>
      </w:r>
      <w:r>
        <w:rPr>
          <w:sz w:val="28"/>
          <w:szCs w:val="28"/>
        </w:rPr>
        <w:t>1</w:t>
      </w:r>
      <w:r>
        <w:rPr>
          <w:rFonts w:hint="eastAsia"/>
          <w:sz w:val="28"/>
          <w:szCs w:val="28"/>
        </w:rPr>
        <w:t>）当预计未来</w:t>
      </w:r>
      <w:r>
        <w:rPr>
          <w:sz w:val="28"/>
          <w:szCs w:val="28"/>
        </w:rPr>
        <w:t>3</w:t>
      </w:r>
      <w:r>
        <w:rPr>
          <w:rFonts w:hint="eastAsia"/>
          <w:sz w:val="28"/>
          <w:szCs w:val="28"/>
        </w:rPr>
        <w:t>小时内降雨量将达到</w:t>
      </w:r>
      <w:r>
        <w:rPr>
          <w:sz w:val="28"/>
          <w:szCs w:val="28"/>
        </w:rPr>
        <w:t>100mm</w:t>
      </w:r>
      <w:r>
        <w:rPr>
          <w:rFonts w:hint="eastAsia"/>
          <w:sz w:val="28"/>
          <w:szCs w:val="28"/>
        </w:rPr>
        <w:t>以上；或已达</w:t>
      </w:r>
      <w:r>
        <w:rPr>
          <w:sz w:val="28"/>
          <w:szCs w:val="28"/>
        </w:rPr>
        <w:t>100mm</w:t>
      </w:r>
      <w:r>
        <w:rPr>
          <w:rFonts w:hint="eastAsia"/>
          <w:sz w:val="28"/>
          <w:szCs w:val="28"/>
        </w:rPr>
        <w:t>以上且降雨可能持续；或</w:t>
      </w:r>
      <w:r>
        <w:rPr>
          <w:sz w:val="28"/>
          <w:szCs w:val="28"/>
        </w:rPr>
        <w:t>1</w:t>
      </w:r>
      <w:r>
        <w:rPr>
          <w:rFonts w:hint="eastAsia"/>
          <w:sz w:val="28"/>
          <w:szCs w:val="28"/>
        </w:rPr>
        <w:t>条以上城市主干道的所有车道、重要场所地面以上等区域渍水深度超过</w:t>
      </w:r>
      <w:r>
        <w:rPr>
          <w:sz w:val="28"/>
          <w:szCs w:val="28"/>
        </w:rPr>
        <w:t>50cm</w:t>
      </w:r>
      <w:r>
        <w:rPr>
          <w:rFonts w:hint="eastAsia"/>
          <w:sz w:val="28"/>
          <w:szCs w:val="28"/>
        </w:rPr>
        <w:t>，持续时间超过</w:t>
      </w:r>
      <w:r>
        <w:rPr>
          <w:sz w:val="28"/>
          <w:szCs w:val="28"/>
        </w:rPr>
        <w:t>3</w:t>
      </w:r>
      <w:r>
        <w:rPr>
          <w:rFonts w:hint="eastAsia"/>
          <w:sz w:val="28"/>
          <w:szCs w:val="28"/>
        </w:rPr>
        <w:t>小时；或城区重要排水防涝泵站出现停电、设备故障且长时间内无法恢复正常运行时。判定大冶城区将出现极端降雨。</w:t>
      </w:r>
    </w:p>
    <w:p>
      <w:pPr>
        <w:topLinePunct/>
        <w:ind w:firstLine="560"/>
      </w:pPr>
      <w:r>
        <w:rPr>
          <w:rFonts w:hint="eastAsia"/>
          <w:sz w:val="28"/>
          <w:szCs w:val="28"/>
        </w:rPr>
        <w:t>（</w:t>
      </w:r>
      <w:r>
        <w:rPr>
          <w:sz w:val="28"/>
          <w:szCs w:val="28"/>
        </w:rPr>
        <w:t>2</w:t>
      </w:r>
      <w:r>
        <w:rPr>
          <w:rFonts w:hint="eastAsia"/>
          <w:sz w:val="28"/>
          <w:szCs w:val="28"/>
        </w:rPr>
        <w:t>）实测日最大降雨量达到</w:t>
      </w:r>
      <w:r>
        <w:rPr>
          <w:sz w:val="28"/>
          <w:szCs w:val="28"/>
        </w:rPr>
        <w:t>250mm</w:t>
      </w:r>
      <w:r>
        <w:rPr>
          <w:rFonts w:hint="eastAsia"/>
          <w:sz w:val="28"/>
          <w:szCs w:val="28"/>
        </w:rPr>
        <w:t>以上或大冶湖水位达到或者预测达到</w:t>
      </w:r>
      <w:r>
        <w:rPr>
          <w:sz w:val="28"/>
          <w:szCs w:val="28"/>
        </w:rPr>
        <w:t>19.50m</w:t>
      </w:r>
      <w:r>
        <w:rPr>
          <w:rFonts w:hint="eastAsia"/>
          <w:sz w:val="28"/>
          <w:szCs w:val="28"/>
        </w:rPr>
        <w:t>，并可能持续降雨，判定大冶城区将出现极端降雨。</w:t>
      </w:r>
    </w:p>
    <w:p>
      <w:pPr>
        <w:pStyle w:val="4"/>
        <w:topLinePunct/>
        <w:spacing w:before="0" w:after="0" w:line="360" w:lineRule="auto"/>
        <w:ind w:firstLine="0" w:firstLineChars="0"/>
        <w:rPr>
          <w:sz w:val="28"/>
          <w:szCs w:val="28"/>
        </w:rPr>
      </w:pPr>
      <w:bookmarkStart w:id="105" w:name="_Toc134984888"/>
      <w:bookmarkStart w:id="106" w:name="_Toc133666682"/>
      <w:r>
        <w:rPr>
          <w:sz w:val="28"/>
          <w:szCs w:val="28"/>
        </w:rPr>
        <w:t>2</w:t>
      </w:r>
      <w:r>
        <w:rPr>
          <w:rFonts w:hint="eastAsia"/>
          <w:sz w:val="28"/>
          <w:szCs w:val="28"/>
        </w:rPr>
        <w:t>、预警发布</w:t>
      </w:r>
      <w:bookmarkEnd w:id="105"/>
      <w:bookmarkEnd w:id="106"/>
    </w:p>
    <w:p>
      <w:pPr>
        <w:topLinePunct/>
        <w:ind w:firstLine="560"/>
        <w:rPr>
          <w:rFonts w:asciiTheme="minorHAnsi" w:hAnsiTheme="minorHAnsi"/>
          <w:sz w:val="28"/>
          <w:szCs w:val="28"/>
        </w:rPr>
      </w:pPr>
      <w:r>
        <w:rPr>
          <w:rFonts w:hint="eastAsia"/>
          <w:sz w:val="28"/>
          <w:szCs w:val="28"/>
        </w:rPr>
        <w:t>市防办将预警信息和汛情公告以电话或传真等形式将情况上报湖北省防汛抗旱指挥部，同时向大冶市委、市人大、市政府、市政协通报。</w:t>
      </w:r>
    </w:p>
    <w:p>
      <w:pPr>
        <w:topLinePunct/>
        <w:ind w:firstLine="560"/>
        <w:rPr>
          <w:rFonts w:asciiTheme="minorHAnsi" w:hAnsiTheme="minorHAnsi"/>
          <w:sz w:val="28"/>
          <w:szCs w:val="28"/>
        </w:rPr>
      </w:pPr>
      <w:r>
        <w:rPr>
          <w:rFonts w:hint="eastAsia"/>
          <w:sz w:val="28"/>
          <w:szCs w:val="28"/>
        </w:rPr>
        <w:t>预警信息和汛情公告发布，须经市防指领导签发，由市防指统一发布，发布的内容包括极端降雨灾害性天气预报、内涝预警预报和实时水雨情预报。发布对象及方式：</w:t>
      </w:r>
    </w:p>
    <w:p>
      <w:pPr>
        <w:topLinePunct/>
        <w:ind w:firstLine="560"/>
        <w:rPr>
          <w:sz w:val="28"/>
          <w:szCs w:val="28"/>
        </w:rPr>
      </w:pPr>
      <w:r>
        <w:rPr>
          <w:rFonts w:hint="eastAsia"/>
          <w:sz w:val="28"/>
          <w:szCs w:val="28"/>
        </w:rPr>
        <w:t>（</w:t>
      </w:r>
      <w:r>
        <w:rPr>
          <w:sz w:val="28"/>
          <w:szCs w:val="28"/>
        </w:rPr>
        <w:t>1</w:t>
      </w:r>
      <w:r>
        <w:rPr>
          <w:rFonts w:hint="eastAsia"/>
          <w:sz w:val="28"/>
          <w:szCs w:val="28"/>
        </w:rPr>
        <w:t>）市防指成员单位</w:t>
      </w:r>
    </w:p>
    <w:p>
      <w:pPr>
        <w:topLinePunct/>
        <w:ind w:firstLine="560"/>
        <w:rPr>
          <w:sz w:val="28"/>
          <w:szCs w:val="28"/>
        </w:rPr>
      </w:pPr>
      <w:r>
        <w:rPr>
          <w:rFonts w:hint="eastAsia"/>
          <w:sz w:val="28"/>
          <w:szCs w:val="28"/>
        </w:rPr>
        <w:t>成员单位包括市人武部、市发改局、市经信局、市公安局、市民政局、市财政局、市教育局、市资规局、市住建局、市城管执法局、市交通运输局、市水利和湖泊局、市农业农村局、市商务局、市文旅局、市卫健局、市应急管理局、市融媒体中心、市气象局、市交警大队、市机关事务服务中心、大冶湖枢纽工程管理站、市供电公司、市水务集团、中国电信、中国移动、中国联通公司大冶分公司、武钢金山店铁矿、有色铜绿山矿、湖北三鑫公司、有色铜山口铜矿等部门和单位。通过短信和电话方式进行通报，并逐级进行通知。</w:t>
      </w:r>
    </w:p>
    <w:p>
      <w:pPr>
        <w:topLinePunct/>
        <w:ind w:firstLine="560"/>
        <w:rPr>
          <w:sz w:val="28"/>
          <w:szCs w:val="28"/>
        </w:rPr>
      </w:pPr>
      <w:r>
        <w:rPr>
          <w:rFonts w:hint="eastAsia"/>
          <w:sz w:val="28"/>
          <w:szCs w:val="28"/>
        </w:rPr>
        <w:t>（</w:t>
      </w:r>
      <w:r>
        <w:rPr>
          <w:sz w:val="28"/>
          <w:szCs w:val="28"/>
        </w:rPr>
        <w:t>2</w:t>
      </w:r>
      <w:r>
        <w:rPr>
          <w:rFonts w:hint="eastAsia"/>
          <w:sz w:val="28"/>
          <w:szCs w:val="28"/>
        </w:rPr>
        <w:t>）社会公众</w:t>
      </w:r>
    </w:p>
    <w:p>
      <w:pPr>
        <w:topLinePunct/>
        <w:ind w:firstLine="560"/>
        <w:rPr>
          <w:rFonts w:asciiTheme="minorHAnsi" w:hAnsiTheme="minorHAnsi"/>
          <w:sz w:val="28"/>
          <w:szCs w:val="28"/>
        </w:rPr>
      </w:pPr>
      <w:r>
        <w:rPr>
          <w:rFonts w:hint="eastAsia"/>
          <w:sz w:val="28"/>
          <w:szCs w:val="28"/>
        </w:rPr>
        <w:t>市防指将发布的预警信息和汛情公告通知市委宣传部、广播视电台、通讯运营公司等，以广播、电视、网络、报刊、短信等方式向社会公众发布。</w:t>
      </w:r>
    </w:p>
    <w:p>
      <w:pPr>
        <w:topLinePunct/>
        <w:ind w:firstLine="560"/>
        <w:rPr>
          <w:sz w:val="28"/>
          <w:szCs w:val="28"/>
        </w:rPr>
      </w:pPr>
      <w:r>
        <w:rPr>
          <w:rFonts w:hint="eastAsia"/>
          <w:sz w:val="28"/>
          <w:szCs w:val="28"/>
        </w:rPr>
        <w:t>（</w:t>
      </w:r>
      <w:r>
        <w:rPr>
          <w:sz w:val="28"/>
          <w:szCs w:val="28"/>
        </w:rPr>
        <w:t>3</w:t>
      </w:r>
      <w:r>
        <w:rPr>
          <w:rFonts w:hint="eastAsia"/>
          <w:sz w:val="28"/>
          <w:szCs w:val="28"/>
        </w:rPr>
        <w:t>）受影响区域群众</w:t>
      </w:r>
    </w:p>
    <w:p>
      <w:pPr>
        <w:topLinePunct/>
        <w:ind w:firstLine="560"/>
        <w:rPr>
          <w:rFonts w:asciiTheme="minorHAnsi" w:hAnsiTheme="minorHAnsi"/>
        </w:rPr>
      </w:pPr>
      <w:r>
        <w:rPr>
          <w:rFonts w:hint="eastAsia"/>
          <w:sz w:val="28"/>
          <w:szCs w:val="28"/>
        </w:rPr>
        <w:t>街道、社区、小区等工作人员通过广播喇叭喊话或者逐户上门通知，确保信息通知不遗漏。</w:t>
      </w:r>
    </w:p>
    <w:p>
      <w:pPr>
        <w:pStyle w:val="4"/>
        <w:topLinePunct/>
        <w:spacing w:before="0" w:after="0" w:line="360" w:lineRule="auto"/>
        <w:ind w:firstLine="0" w:firstLineChars="0"/>
        <w:rPr>
          <w:sz w:val="28"/>
          <w:szCs w:val="28"/>
        </w:rPr>
      </w:pPr>
      <w:bookmarkStart w:id="107" w:name="_Toc134984889"/>
      <w:bookmarkStart w:id="108" w:name="_Toc133666683"/>
      <w:r>
        <w:rPr>
          <w:sz w:val="28"/>
          <w:szCs w:val="28"/>
        </w:rPr>
        <w:t>3</w:t>
      </w:r>
      <w:r>
        <w:rPr>
          <w:rFonts w:hint="eastAsia"/>
          <w:sz w:val="28"/>
          <w:szCs w:val="28"/>
        </w:rPr>
        <w:t>、</w:t>
      </w:r>
      <w:r>
        <w:rPr>
          <w:rFonts w:hint="eastAsia"/>
          <w:sz w:val="28"/>
          <w:szCs w:val="28"/>
          <w:lang w:val="en-US" w:eastAsia="zh-CN"/>
        </w:rPr>
        <w:t>响</w:t>
      </w:r>
      <w:r>
        <w:rPr>
          <w:rFonts w:hint="eastAsia"/>
          <w:sz w:val="28"/>
          <w:szCs w:val="28"/>
        </w:rPr>
        <w:t>应机制</w:t>
      </w:r>
      <w:bookmarkEnd w:id="107"/>
      <w:bookmarkEnd w:id="108"/>
    </w:p>
    <w:p>
      <w:pPr>
        <w:topLinePunct/>
        <w:ind w:firstLine="560"/>
        <w:rPr>
          <w:rFonts w:asciiTheme="minorHAnsi" w:hAnsiTheme="minorHAnsi"/>
          <w:sz w:val="28"/>
          <w:szCs w:val="28"/>
        </w:rPr>
      </w:pPr>
      <w:r>
        <w:rPr>
          <w:rFonts w:hint="eastAsia"/>
          <w:sz w:val="28"/>
          <w:szCs w:val="28"/>
        </w:rPr>
        <w:t>为确保预警信息准确送达，不留死角，形成闭环，须建立直达基层的临灾暴雨预警叫应机制。根据实际情况确定启动叫应机制的预警信号等级，当发布对应等级或以上的预警信号时，各单位责任人接到预警信息后要及时向发布主管部门反馈，并采取应急措施。未及时反馈的，预警发布主管部门要及时通知到基层党政领导及关键防汛责任人，确保既要“叫醒”也要“回应”。</w:t>
      </w:r>
    </w:p>
    <w:p>
      <w:pPr>
        <w:pStyle w:val="3"/>
        <w:topLinePunct/>
        <w:ind w:firstLine="0" w:firstLineChars="0"/>
      </w:pPr>
      <w:bookmarkStart w:id="109" w:name="_Toc134984890"/>
      <w:bookmarkStart w:id="110" w:name="_Toc133666684"/>
      <w:r>
        <w:rPr>
          <w:rFonts w:hint="eastAsia"/>
        </w:rPr>
        <w:t>（三）应急响应</w:t>
      </w:r>
      <w:bookmarkEnd w:id="109"/>
      <w:bookmarkEnd w:id="110"/>
    </w:p>
    <w:p>
      <w:pPr>
        <w:pStyle w:val="4"/>
        <w:topLinePunct/>
        <w:spacing w:before="0" w:after="0" w:line="360" w:lineRule="auto"/>
        <w:ind w:firstLine="0" w:firstLineChars="0"/>
        <w:rPr>
          <w:sz w:val="28"/>
          <w:szCs w:val="28"/>
        </w:rPr>
      </w:pPr>
      <w:bookmarkStart w:id="111" w:name="_Toc134984891"/>
      <w:bookmarkStart w:id="112" w:name="_Toc133666685"/>
      <w:r>
        <w:rPr>
          <w:sz w:val="28"/>
          <w:szCs w:val="28"/>
        </w:rPr>
        <w:t>1</w:t>
      </w:r>
      <w:r>
        <w:rPr>
          <w:rFonts w:hint="eastAsia"/>
          <w:sz w:val="28"/>
          <w:szCs w:val="28"/>
        </w:rPr>
        <w:t>、工作程序</w:t>
      </w:r>
      <w:bookmarkEnd w:id="111"/>
      <w:bookmarkEnd w:id="112"/>
    </w:p>
    <w:p>
      <w:pPr>
        <w:topLinePunct/>
        <w:ind w:firstLine="560"/>
        <w:rPr>
          <w:rFonts w:asciiTheme="minorHAnsi" w:hAnsiTheme="minorHAnsi"/>
          <w:sz w:val="28"/>
          <w:szCs w:val="28"/>
        </w:rPr>
      </w:pPr>
      <w:r>
        <w:rPr>
          <w:rFonts w:hint="eastAsia"/>
          <w:sz w:val="28"/>
          <w:szCs w:val="28"/>
        </w:rPr>
        <w:t>降雨量及内涝面积持续加大，根据雨情、水情组织研判，达到大冶市极端降雨城市内涝预警条件，向市委、市政府和省防指报批后，指挥长决定启动响应程序，发布预警信息，采用广播、电视、网络、报刊、短信等多种方式及时向社会广泛实时发布内涝汛情公告，宣布进入紧急防汛排涝期。由市防指组织气象、水利等部门及有关专家结合各排水分区内涝防治设施现状应对能力分析研判后，宣布启动本预案。</w:t>
      </w:r>
    </w:p>
    <w:p>
      <w:pPr>
        <w:topLinePunct/>
        <w:ind w:firstLine="560"/>
        <w:rPr>
          <w:rFonts w:asciiTheme="minorHAnsi" w:hAnsiTheme="minorHAnsi"/>
          <w:sz w:val="28"/>
          <w:szCs w:val="28"/>
        </w:rPr>
      </w:pPr>
      <w:r>
        <w:rPr>
          <w:rFonts w:hint="eastAsia"/>
          <w:sz w:val="28"/>
          <w:szCs w:val="28"/>
        </w:rPr>
        <w:t>全市紧急动员，全力以赴。市防指根据需要，调拨抢险物资，财政部门下拨抢险资金，相关部门支援抢险工作。各个成员单位各自启动相关应急预案，严阵以待，随时准备全力配合市防指进行防汛排涝应急抢险工作。市防指及时将防御部署落实情况及灾情统计上报市委、市政府，并统一发布防汛排涝救灾的动态和新闻。</w:t>
      </w:r>
    </w:p>
    <w:p>
      <w:pPr>
        <w:topLinePunct/>
        <w:ind w:firstLine="560"/>
        <w:rPr>
          <w:rFonts w:asciiTheme="minorHAnsi" w:hAnsiTheme="minorHAnsi"/>
        </w:rPr>
      </w:pPr>
      <w:r>
        <w:rPr>
          <w:rFonts w:hint="eastAsia"/>
          <w:sz w:val="28"/>
          <w:szCs w:val="28"/>
        </w:rPr>
        <w:t>应急过程中，如发现事态扩大或排水防涝泵站突发故障、停电等险情且长时间无法正常运行时，超过本单位、本指挥部应急抢险能力，要及时向市防办、副指挥长直至指挥长报告，必要时可直接向指挥部报告，市住建、城管等部门可同步向省住建厅等省直部门报告，寻求支援，并做好抢险自救准备，最大限度减少人员伤亡和财产损失。若发生人员伤亡、重大事故、严重财产损失的，市防办要按照有关要求和程序及时向省防汛抗旱指挥部、省住建厅报告情况。各成员单位要按照有关要求和程序及时向有关上级主管部门报告情况。</w:t>
      </w:r>
    </w:p>
    <w:p>
      <w:pPr>
        <w:pStyle w:val="4"/>
        <w:topLinePunct/>
        <w:spacing w:before="0" w:after="0" w:line="360" w:lineRule="auto"/>
        <w:ind w:firstLine="0" w:firstLineChars="0"/>
        <w:rPr>
          <w:sz w:val="28"/>
          <w:szCs w:val="28"/>
        </w:rPr>
      </w:pPr>
      <w:bookmarkStart w:id="113" w:name="_Toc134984892"/>
      <w:bookmarkStart w:id="114" w:name="_Toc133666686"/>
      <w:r>
        <w:rPr>
          <w:sz w:val="28"/>
          <w:szCs w:val="28"/>
        </w:rPr>
        <w:t>2</w:t>
      </w:r>
      <w:r>
        <w:rPr>
          <w:rFonts w:hint="eastAsia"/>
          <w:sz w:val="28"/>
          <w:szCs w:val="28"/>
        </w:rPr>
        <w:t>、应急响应行动</w:t>
      </w:r>
      <w:bookmarkEnd w:id="113"/>
      <w:bookmarkEnd w:id="114"/>
    </w:p>
    <w:p>
      <w:pPr>
        <w:topLinePunct/>
        <w:ind w:firstLine="560"/>
        <w:rPr>
          <w:sz w:val="28"/>
          <w:szCs w:val="28"/>
        </w:rPr>
      </w:pPr>
      <w:r>
        <w:rPr>
          <w:rFonts w:hint="eastAsia"/>
          <w:sz w:val="28"/>
          <w:szCs w:val="28"/>
        </w:rPr>
        <w:t>（</w:t>
      </w:r>
      <w:r>
        <w:rPr>
          <w:sz w:val="28"/>
          <w:szCs w:val="28"/>
        </w:rPr>
        <w:t>1</w:t>
      </w:r>
      <w:r>
        <w:rPr>
          <w:rFonts w:hint="eastAsia"/>
          <w:sz w:val="28"/>
          <w:szCs w:val="28"/>
        </w:rPr>
        <w:t>）防汛值守</w:t>
      </w:r>
    </w:p>
    <w:p>
      <w:pPr>
        <w:topLinePunct/>
        <w:ind w:firstLine="560"/>
        <w:rPr>
          <w:rFonts w:asciiTheme="minorHAnsi" w:hAnsiTheme="minorHAnsi"/>
          <w:sz w:val="28"/>
          <w:szCs w:val="28"/>
        </w:rPr>
      </w:pPr>
      <w:r>
        <w:rPr>
          <w:rFonts w:hint="eastAsia"/>
          <w:sz w:val="28"/>
          <w:szCs w:val="28"/>
        </w:rPr>
        <w:t>应急响应启动后，各成员单位同时启动相应级别应急响应，市防指指挥长坐镇指挥中心指挥，副指挥长协助坐镇指挥，紧急会商部署抢险工作，各成员单位参加，并汇报有关情况，市防办主任及各组组长集中办公。</w:t>
      </w:r>
    </w:p>
    <w:p>
      <w:pPr>
        <w:topLinePunct/>
        <w:ind w:firstLine="560"/>
        <w:rPr>
          <w:rFonts w:asciiTheme="minorHAnsi" w:hAnsiTheme="minorHAnsi"/>
          <w:sz w:val="28"/>
          <w:szCs w:val="28"/>
        </w:rPr>
      </w:pPr>
      <w:r>
        <w:rPr>
          <w:rFonts w:hint="eastAsia"/>
          <w:sz w:val="28"/>
          <w:szCs w:val="28"/>
        </w:rPr>
        <w:t>市防指应在</w:t>
      </w:r>
      <w:r>
        <w:rPr>
          <w:sz w:val="28"/>
          <w:szCs w:val="28"/>
        </w:rPr>
        <w:t>24</w:t>
      </w:r>
      <w:r>
        <w:rPr>
          <w:rFonts w:hint="eastAsia"/>
          <w:sz w:val="28"/>
          <w:szCs w:val="28"/>
        </w:rPr>
        <w:t>小时内派工作组、专家组赴一线具体指导防汛排涝工作。各成员单位主要负责人到岗履责，按市防指运作编组规定，各组集中办公、正常运转。加强应急值守，坚持</w:t>
      </w:r>
      <w:r>
        <w:rPr>
          <w:sz w:val="28"/>
          <w:szCs w:val="28"/>
        </w:rPr>
        <w:t>24</w:t>
      </w:r>
      <w:r>
        <w:rPr>
          <w:rFonts w:hint="eastAsia"/>
          <w:sz w:val="28"/>
          <w:szCs w:val="28"/>
        </w:rPr>
        <w:t>小时值班制度，指挥部办公室负责人带班，增加值班人员，随时掌握水情、雨情、工情和灾情的变化，做好预测预报，加强协调、督导事关全局的蓄、排水工程调度。紧急时刻，提请市委、市政府研究部署防涝工作，实行市委常委负责制，带领工作专班分赴一线指导排水防涝工作。</w:t>
      </w:r>
    </w:p>
    <w:p>
      <w:pPr>
        <w:topLinePunct/>
        <w:ind w:firstLine="560"/>
        <w:rPr>
          <w:sz w:val="28"/>
          <w:szCs w:val="28"/>
        </w:rPr>
      </w:pPr>
      <w:r>
        <w:rPr>
          <w:rFonts w:hint="eastAsia"/>
          <w:sz w:val="28"/>
          <w:szCs w:val="28"/>
        </w:rPr>
        <w:t>（</w:t>
      </w:r>
      <w:r>
        <w:rPr>
          <w:sz w:val="28"/>
          <w:szCs w:val="28"/>
        </w:rPr>
        <w:t>2</w:t>
      </w:r>
      <w:r>
        <w:rPr>
          <w:rFonts w:hint="eastAsia"/>
          <w:sz w:val="28"/>
          <w:szCs w:val="28"/>
        </w:rPr>
        <w:t>）备料检查</w:t>
      </w:r>
    </w:p>
    <w:p>
      <w:pPr>
        <w:topLinePunct/>
        <w:ind w:firstLine="560"/>
        <w:rPr>
          <w:rFonts w:asciiTheme="minorHAnsi" w:hAnsiTheme="minorHAnsi"/>
          <w:sz w:val="28"/>
          <w:szCs w:val="28"/>
        </w:rPr>
      </w:pPr>
      <w:r>
        <w:rPr>
          <w:rFonts w:hint="eastAsia"/>
          <w:sz w:val="28"/>
          <w:szCs w:val="28"/>
        </w:rPr>
        <w:t>预警发布之后，大冶市应急管理局应及时检查排水防涝物料，包括现场储备、物资仓库储备、市场协议储备物料等。对前期已使用部分应及时补齐；对市场协议形式储备的物料，应到储备现场进行检查，随时对物料进行补充。</w:t>
      </w:r>
    </w:p>
    <w:p>
      <w:pPr>
        <w:topLinePunct/>
        <w:ind w:firstLine="560"/>
        <w:rPr>
          <w:sz w:val="28"/>
          <w:szCs w:val="28"/>
        </w:rPr>
      </w:pPr>
      <w:r>
        <w:rPr>
          <w:rFonts w:hint="eastAsia"/>
          <w:sz w:val="28"/>
          <w:szCs w:val="28"/>
        </w:rPr>
        <w:t>（</w:t>
      </w:r>
      <w:r>
        <w:rPr>
          <w:sz w:val="28"/>
          <w:szCs w:val="28"/>
        </w:rPr>
        <w:t>3</w:t>
      </w:r>
      <w:r>
        <w:rPr>
          <w:rFonts w:hint="eastAsia"/>
          <w:sz w:val="28"/>
          <w:szCs w:val="28"/>
        </w:rPr>
        <w:t>）抢险队伍集结待命</w:t>
      </w:r>
    </w:p>
    <w:p>
      <w:pPr>
        <w:topLinePunct/>
        <w:ind w:firstLine="560"/>
        <w:rPr>
          <w:rFonts w:asciiTheme="minorHAnsi" w:hAnsiTheme="minorHAnsi"/>
          <w:sz w:val="28"/>
          <w:szCs w:val="28"/>
        </w:rPr>
      </w:pPr>
      <w:r>
        <w:rPr>
          <w:rFonts w:hint="eastAsia"/>
          <w:sz w:val="28"/>
          <w:szCs w:val="28"/>
        </w:rPr>
        <w:t>大冶市已组建基层抢险队伍、机动抢险队伍、专业抢险队伍三个层次的抢险队伍，可投入极端降雨城市内涝抢险工作。预警信息发布之后，市防指、各工作组及各抢险突击队要按照会商部署要求及时调整优化人员安排，补充优化物资设备调度，所有抢险队伍全部到位，做好抢险救灾工作。</w:t>
      </w:r>
    </w:p>
    <w:p>
      <w:pPr>
        <w:topLinePunct/>
        <w:ind w:firstLine="560"/>
        <w:rPr>
          <w:sz w:val="28"/>
          <w:szCs w:val="28"/>
        </w:rPr>
      </w:pPr>
      <w:r>
        <w:rPr>
          <w:rFonts w:hint="eastAsia"/>
          <w:sz w:val="28"/>
          <w:szCs w:val="28"/>
        </w:rPr>
        <w:t>（</w:t>
      </w:r>
      <w:r>
        <w:rPr>
          <w:sz w:val="28"/>
          <w:szCs w:val="28"/>
        </w:rPr>
        <w:t>4</w:t>
      </w:r>
      <w:r>
        <w:rPr>
          <w:rFonts w:hint="eastAsia"/>
          <w:sz w:val="28"/>
          <w:szCs w:val="28"/>
        </w:rPr>
        <w:t>）交通管制</w:t>
      </w:r>
    </w:p>
    <w:p>
      <w:pPr>
        <w:topLinePunct/>
        <w:ind w:firstLine="560"/>
        <w:rPr>
          <w:rFonts w:asciiTheme="minorHAnsi" w:hAnsiTheme="minorHAnsi"/>
          <w:sz w:val="28"/>
          <w:szCs w:val="28"/>
        </w:rPr>
      </w:pPr>
      <w:r>
        <w:rPr>
          <w:rFonts w:hint="eastAsia"/>
          <w:sz w:val="28"/>
          <w:szCs w:val="28"/>
        </w:rPr>
        <w:t>预警信息发布之后，大冶市公安、交通管理部门应迅速对大冶重要主次干道进行交通管制，确保防汛排涝抢险人员、物资、车辆能够顺利到达各城市严重内涝区域抢险，同时疏导交通或者进行临时交通调整，并向市民发出预警。具体交通管制方案由公安和交通部门编制。</w:t>
      </w:r>
    </w:p>
    <w:p>
      <w:pPr>
        <w:topLinePunct/>
        <w:ind w:firstLine="560"/>
        <w:rPr>
          <w:sz w:val="28"/>
          <w:szCs w:val="28"/>
        </w:rPr>
      </w:pPr>
      <w:r>
        <w:rPr>
          <w:rFonts w:hint="eastAsia"/>
          <w:sz w:val="28"/>
          <w:szCs w:val="28"/>
        </w:rPr>
        <w:t>（</w:t>
      </w:r>
      <w:r>
        <w:rPr>
          <w:sz w:val="28"/>
          <w:szCs w:val="28"/>
        </w:rPr>
        <w:t>5</w:t>
      </w:r>
      <w:r>
        <w:rPr>
          <w:rFonts w:hint="eastAsia"/>
          <w:sz w:val="28"/>
          <w:szCs w:val="28"/>
        </w:rPr>
        <w:t>）受影响区群众转移</w:t>
      </w:r>
    </w:p>
    <w:p>
      <w:pPr>
        <w:topLinePunct/>
        <w:ind w:firstLine="560"/>
        <w:rPr>
          <w:rFonts w:asciiTheme="minorHAnsi" w:hAnsiTheme="minorHAnsi"/>
          <w:sz w:val="28"/>
          <w:szCs w:val="28"/>
        </w:rPr>
      </w:pPr>
      <w:r>
        <w:rPr>
          <w:rFonts w:hint="eastAsia"/>
          <w:sz w:val="28"/>
          <w:szCs w:val="28"/>
        </w:rPr>
        <w:t>应急、民政、交通、公安等相关部门按照人口转移预案迅速组织群众转移。</w:t>
      </w:r>
    </w:p>
    <w:p>
      <w:pPr>
        <w:topLinePunct/>
        <w:ind w:firstLine="560"/>
        <w:rPr>
          <w:rFonts w:asciiTheme="minorHAnsi" w:hAnsiTheme="minorHAnsi"/>
          <w:sz w:val="28"/>
          <w:szCs w:val="28"/>
        </w:rPr>
      </w:pPr>
      <w:r>
        <w:rPr>
          <w:rFonts w:hint="eastAsia"/>
          <w:sz w:val="28"/>
          <w:szCs w:val="28"/>
        </w:rPr>
        <w:t>转移的总体原则是先人后物。转移方向主要是基础稳固的楼房高层和政府设立的避难安置点。当群众遭受涝水围困时，应及时组织救援人员和冲锋舟、救生船、救生衣、救生圈等器材，确保围困群众的生命安全，政府提供安置生活基本保障。具体人口转移安置计划由相关部门编制。</w:t>
      </w:r>
    </w:p>
    <w:p>
      <w:pPr>
        <w:topLinePunct/>
        <w:ind w:firstLine="560"/>
        <w:rPr>
          <w:sz w:val="28"/>
          <w:szCs w:val="28"/>
        </w:rPr>
      </w:pPr>
      <w:r>
        <w:rPr>
          <w:rFonts w:hint="eastAsia"/>
          <w:sz w:val="28"/>
          <w:szCs w:val="28"/>
        </w:rPr>
        <w:t>（</w:t>
      </w:r>
      <w:r>
        <w:rPr>
          <w:sz w:val="28"/>
          <w:szCs w:val="28"/>
        </w:rPr>
        <w:t>6</w:t>
      </w:r>
      <w:r>
        <w:rPr>
          <w:rFonts w:hint="eastAsia"/>
          <w:sz w:val="28"/>
          <w:szCs w:val="28"/>
        </w:rPr>
        <w:t>）成员单位尽职履责</w:t>
      </w:r>
    </w:p>
    <w:p>
      <w:pPr>
        <w:topLinePunct/>
        <w:ind w:firstLine="560"/>
        <w:rPr>
          <w:rFonts w:asciiTheme="minorHAnsi" w:hAnsiTheme="minorHAnsi"/>
          <w:sz w:val="28"/>
          <w:szCs w:val="28"/>
        </w:rPr>
      </w:pPr>
      <w:r>
        <w:rPr>
          <w:rFonts w:hint="eastAsia"/>
          <w:sz w:val="28"/>
          <w:szCs w:val="28"/>
        </w:rPr>
        <w:t>市委、市人大、市政府、市政协领导和市防指成员单位应组织专家组或工作组及抢险队伍到相关责任区域驻守。</w:t>
      </w:r>
    </w:p>
    <w:p>
      <w:pPr>
        <w:topLinePunct/>
        <w:ind w:firstLine="560"/>
        <w:rPr>
          <w:rFonts w:asciiTheme="minorHAnsi" w:hAnsiTheme="minorHAnsi"/>
          <w:sz w:val="28"/>
          <w:szCs w:val="28"/>
        </w:rPr>
      </w:pPr>
      <w:r>
        <w:rPr>
          <w:rFonts w:hint="eastAsia"/>
          <w:sz w:val="28"/>
          <w:szCs w:val="28"/>
        </w:rPr>
        <w:t>属地街道、社区以及工程管理单位应对城市内涝高风险区低洼积水排查，并对积水处派人驻守。</w:t>
      </w:r>
    </w:p>
    <w:p>
      <w:pPr>
        <w:topLinePunct/>
        <w:ind w:firstLine="560"/>
        <w:rPr>
          <w:rFonts w:asciiTheme="minorHAnsi" w:hAnsiTheme="minorHAnsi"/>
          <w:sz w:val="28"/>
          <w:szCs w:val="28"/>
        </w:rPr>
      </w:pPr>
      <w:r>
        <w:rPr>
          <w:rFonts w:hint="eastAsia"/>
          <w:sz w:val="28"/>
          <w:szCs w:val="28"/>
        </w:rPr>
        <w:t>供水部门做好应对内涝汛情的准备，确保居民生活正常运行。若因供水水源短缺或被破坏、供水线路中断，供水水质被侵害等原因而出现供水危机时，城市供水主管部门要紧急启动供水应急预案，城市公共供水企业要启动备用水源和应急供水措施，同时迅速调集抢险力量，开展供水抢修，尽早恢复供水正常运行。</w:t>
      </w:r>
    </w:p>
    <w:p>
      <w:pPr>
        <w:topLinePunct/>
        <w:ind w:firstLine="560"/>
        <w:rPr>
          <w:sz w:val="28"/>
          <w:szCs w:val="28"/>
        </w:rPr>
      </w:pPr>
      <w:r>
        <w:rPr>
          <w:rFonts w:hint="eastAsia"/>
          <w:sz w:val="28"/>
          <w:szCs w:val="28"/>
        </w:rPr>
        <w:t>供气部门做好应对内涝汛情的准备，确保居民生活正常运行。城市燃气主管部门要督促燃气企业备好物资，迅速调集抢险力量，投入抢修抢险，确保燃气设施安全运行。</w:t>
      </w:r>
    </w:p>
    <w:p>
      <w:pPr>
        <w:topLinePunct/>
        <w:ind w:firstLine="560"/>
        <w:rPr>
          <w:rFonts w:asciiTheme="minorHAnsi" w:hAnsiTheme="minorHAnsi"/>
          <w:sz w:val="28"/>
          <w:szCs w:val="28"/>
        </w:rPr>
      </w:pPr>
      <w:r>
        <w:rPr>
          <w:rFonts w:hint="eastAsia"/>
          <w:sz w:val="28"/>
          <w:szCs w:val="28"/>
        </w:rPr>
        <w:t>市经信局和电力部门确保排水防涝用电需要。</w:t>
      </w:r>
    </w:p>
    <w:p>
      <w:pPr>
        <w:topLinePunct/>
        <w:ind w:firstLine="560"/>
        <w:rPr>
          <w:rFonts w:asciiTheme="minorHAnsi" w:hAnsiTheme="minorHAnsi"/>
          <w:sz w:val="28"/>
          <w:szCs w:val="28"/>
        </w:rPr>
      </w:pPr>
      <w:r>
        <w:rPr>
          <w:rFonts w:hint="eastAsia"/>
          <w:sz w:val="28"/>
          <w:szCs w:val="28"/>
        </w:rPr>
        <w:t>市财政局为排水防涝抢险、救灾及时提供资金保障。</w:t>
      </w:r>
    </w:p>
    <w:p>
      <w:pPr>
        <w:topLinePunct/>
        <w:ind w:firstLine="560"/>
        <w:rPr>
          <w:rFonts w:asciiTheme="minorHAnsi" w:hAnsiTheme="minorHAnsi"/>
          <w:sz w:val="28"/>
          <w:szCs w:val="28"/>
        </w:rPr>
      </w:pPr>
      <w:r>
        <w:rPr>
          <w:rFonts w:hint="eastAsia"/>
          <w:sz w:val="28"/>
          <w:szCs w:val="28"/>
        </w:rPr>
        <w:t>市防办为灾区紧急调拨物资。</w:t>
      </w:r>
    </w:p>
    <w:p>
      <w:pPr>
        <w:topLinePunct/>
        <w:ind w:firstLine="560"/>
        <w:rPr>
          <w:rFonts w:asciiTheme="minorHAnsi" w:hAnsiTheme="minorHAnsi"/>
          <w:sz w:val="28"/>
          <w:szCs w:val="28"/>
        </w:rPr>
      </w:pPr>
      <w:r>
        <w:rPr>
          <w:rFonts w:hint="eastAsia"/>
          <w:sz w:val="28"/>
          <w:szCs w:val="28"/>
        </w:rPr>
        <w:t>市卫生健康局及时准备派出医疗专班，赴灾区开展医疗救治和疾病防控工作。</w:t>
      </w:r>
    </w:p>
    <w:p>
      <w:pPr>
        <w:topLinePunct/>
        <w:ind w:firstLine="560"/>
        <w:rPr>
          <w:rFonts w:asciiTheme="minorHAnsi" w:hAnsiTheme="minorHAnsi"/>
          <w:sz w:val="28"/>
          <w:szCs w:val="28"/>
        </w:rPr>
      </w:pPr>
      <w:r>
        <w:rPr>
          <w:rFonts w:hint="eastAsia"/>
          <w:sz w:val="28"/>
          <w:szCs w:val="28"/>
        </w:rPr>
        <w:t>市水利和湖泊局、市气象局密切观察水雨情信息，随时预报。</w:t>
      </w:r>
    </w:p>
    <w:p>
      <w:pPr>
        <w:topLinePunct/>
        <w:ind w:firstLine="560"/>
        <w:rPr>
          <w:rFonts w:asciiTheme="minorHAnsi" w:hAnsiTheme="minorHAnsi"/>
          <w:sz w:val="28"/>
          <w:szCs w:val="28"/>
        </w:rPr>
      </w:pPr>
      <w:r>
        <w:rPr>
          <w:rFonts w:hint="eastAsia"/>
          <w:sz w:val="28"/>
          <w:szCs w:val="28"/>
        </w:rPr>
        <w:t>市住建部门要督促房屋建筑和市政工程建设单位组织施工单位撤离施工人员，转移施工物资、设备，确保施工现场及周边安全。</w:t>
      </w:r>
    </w:p>
    <w:p>
      <w:pPr>
        <w:topLinePunct/>
        <w:ind w:firstLine="560"/>
        <w:rPr>
          <w:rFonts w:asciiTheme="minorHAnsi" w:hAnsiTheme="minorHAnsi"/>
          <w:sz w:val="28"/>
          <w:szCs w:val="28"/>
        </w:rPr>
      </w:pPr>
      <w:r>
        <w:rPr>
          <w:rFonts w:hint="eastAsia"/>
          <w:sz w:val="28"/>
          <w:szCs w:val="28"/>
        </w:rPr>
        <w:t>市园林等主管部门要督促城市公园和游乐场所一律停业，确保游人安全。</w:t>
      </w:r>
    </w:p>
    <w:p>
      <w:pPr>
        <w:topLinePunct/>
        <w:ind w:firstLine="560"/>
        <w:rPr>
          <w:rFonts w:asciiTheme="minorHAnsi" w:hAnsiTheme="minorHAnsi"/>
          <w:sz w:val="28"/>
          <w:szCs w:val="28"/>
        </w:rPr>
      </w:pPr>
      <w:r>
        <w:rPr>
          <w:rFonts w:hint="eastAsia"/>
          <w:sz w:val="28"/>
          <w:szCs w:val="28"/>
        </w:rPr>
        <w:t>市城市排水、照明等设施管养主管部门要督促管养单位在确保抢险人员安全的前提下，继续坚守岗位，配合做好抢险救灾工作。</w:t>
      </w:r>
    </w:p>
    <w:p>
      <w:pPr>
        <w:topLinePunct/>
        <w:ind w:firstLine="560"/>
        <w:rPr>
          <w:rFonts w:asciiTheme="minorHAnsi" w:hAnsiTheme="minorHAnsi"/>
          <w:color w:val="FF0000"/>
          <w:sz w:val="28"/>
          <w:szCs w:val="28"/>
        </w:rPr>
      </w:pPr>
      <w:r>
        <w:rPr>
          <w:rFonts w:hint="eastAsia"/>
          <w:sz w:val="28"/>
          <w:szCs w:val="28"/>
        </w:rPr>
        <w:t>其他成员单位按照相应职责履职。</w:t>
      </w:r>
    </w:p>
    <w:p>
      <w:pPr>
        <w:pStyle w:val="4"/>
        <w:topLinePunct/>
        <w:spacing w:before="0" w:after="0" w:line="360" w:lineRule="auto"/>
        <w:ind w:firstLine="0" w:firstLineChars="0"/>
        <w:rPr>
          <w:sz w:val="28"/>
          <w:szCs w:val="28"/>
        </w:rPr>
      </w:pPr>
      <w:bookmarkStart w:id="115" w:name="_Toc133666687"/>
      <w:bookmarkStart w:id="116" w:name="_Toc134984893"/>
      <w:r>
        <w:rPr>
          <w:sz w:val="28"/>
          <w:szCs w:val="28"/>
        </w:rPr>
        <w:t>3</w:t>
      </w:r>
      <w:r>
        <w:rPr>
          <w:rFonts w:hint="eastAsia"/>
          <w:sz w:val="28"/>
          <w:szCs w:val="28"/>
        </w:rPr>
        <w:t>、信息报送机制</w:t>
      </w:r>
      <w:bookmarkEnd w:id="115"/>
      <w:bookmarkEnd w:id="116"/>
    </w:p>
    <w:p>
      <w:pPr>
        <w:topLinePunct/>
        <w:ind w:firstLine="560"/>
        <w:rPr>
          <w:rFonts w:asciiTheme="minorHAnsi" w:hAnsiTheme="minorHAnsi"/>
          <w:sz w:val="28"/>
          <w:szCs w:val="28"/>
        </w:rPr>
      </w:pPr>
      <w:r>
        <w:rPr>
          <w:rFonts w:hint="eastAsia"/>
          <w:sz w:val="28"/>
          <w:szCs w:val="28"/>
        </w:rPr>
        <w:t>市防办防汛期间应切实抓好防汛信息的收集工作，建立健全信息流通处理程序，确保信息渠道畅通。启动应急响应后，市防办应安排人员</w:t>
      </w:r>
      <w:r>
        <w:rPr>
          <w:sz w:val="28"/>
          <w:szCs w:val="28"/>
        </w:rPr>
        <w:t>24</w:t>
      </w:r>
      <w:r>
        <w:rPr>
          <w:rFonts w:hint="eastAsia"/>
          <w:sz w:val="28"/>
          <w:szCs w:val="28"/>
        </w:rPr>
        <w:t>小时值班，并实行领导带班制，负责正常防汛运行组织与调度，做好相关信息的收集与传达。</w:t>
      </w:r>
    </w:p>
    <w:p>
      <w:pPr>
        <w:topLinePunct/>
        <w:ind w:firstLine="560"/>
        <w:rPr>
          <w:rFonts w:asciiTheme="minorHAnsi" w:hAnsiTheme="minorHAnsi"/>
          <w:sz w:val="28"/>
          <w:szCs w:val="28"/>
        </w:rPr>
      </w:pPr>
      <w:r>
        <w:rPr>
          <w:rFonts w:hint="eastAsia"/>
          <w:sz w:val="28"/>
          <w:szCs w:val="28"/>
        </w:rPr>
        <w:t>市防办应与水利部门保持联系畅通，每日及时收集大冶湖水位信息，并实行每日登记备案制度。</w:t>
      </w:r>
    </w:p>
    <w:p>
      <w:pPr>
        <w:topLinePunct/>
        <w:ind w:firstLine="560"/>
        <w:rPr>
          <w:rFonts w:asciiTheme="minorHAnsi" w:hAnsiTheme="minorHAnsi"/>
          <w:sz w:val="28"/>
          <w:szCs w:val="28"/>
        </w:rPr>
      </w:pPr>
      <w:r>
        <w:rPr>
          <w:rFonts w:hint="eastAsia"/>
          <w:sz w:val="28"/>
          <w:szCs w:val="28"/>
        </w:rPr>
        <w:t>市防办应与气象部门保持联系畅通，及时掌握气候及雨情、水情信息。</w:t>
      </w:r>
    </w:p>
    <w:p>
      <w:pPr>
        <w:topLinePunct/>
        <w:ind w:firstLine="560"/>
        <w:rPr>
          <w:rFonts w:asciiTheme="minorHAnsi" w:hAnsiTheme="minorHAnsi"/>
        </w:rPr>
      </w:pPr>
      <w:r>
        <w:rPr>
          <w:rFonts w:hint="eastAsia"/>
          <w:sz w:val="28"/>
          <w:szCs w:val="28"/>
        </w:rPr>
        <w:t>为确保信息传递畅通，保障江湖涵闸调度安全，市排水管理处、市防办和市水利和湖泊局应安排专人负责协调联络。</w:t>
      </w:r>
    </w:p>
    <w:p>
      <w:pPr>
        <w:pStyle w:val="4"/>
        <w:topLinePunct/>
        <w:spacing w:before="0" w:after="0" w:line="360" w:lineRule="auto"/>
        <w:ind w:firstLine="0" w:firstLineChars="0"/>
        <w:rPr>
          <w:sz w:val="28"/>
          <w:szCs w:val="28"/>
        </w:rPr>
      </w:pPr>
      <w:bookmarkStart w:id="117" w:name="_Toc133666688"/>
      <w:bookmarkStart w:id="118" w:name="_Toc134984894"/>
      <w:r>
        <w:rPr>
          <w:sz w:val="28"/>
          <w:szCs w:val="28"/>
        </w:rPr>
        <w:t>4</w:t>
      </w:r>
      <w:r>
        <w:rPr>
          <w:rFonts w:hint="eastAsia"/>
          <w:sz w:val="28"/>
          <w:szCs w:val="28"/>
        </w:rPr>
        <w:t>、应急响应退出机制</w:t>
      </w:r>
      <w:bookmarkEnd w:id="117"/>
      <w:bookmarkEnd w:id="118"/>
    </w:p>
    <w:p>
      <w:pPr>
        <w:topLinePunct/>
        <w:ind w:firstLine="560"/>
        <w:rPr>
          <w:sz w:val="28"/>
          <w:szCs w:val="28"/>
        </w:rPr>
      </w:pPr>
      <w:r>
        <w:rPr>
          <w:rFonts w:hint="eastAsia"/>
          <w:sz w:val="28"/>
          <w:szCs w:val="28"/>
        </w:rPr>
        <w:t>当降雨减弱，市气象灾害防御指挥部发布极端降雨灾害应急响应终止，城区渍水基本消退后，次生衍生危害被基本消除或得到有效控制时，市防指根据应急工作进展和工作部署，由指挥长宣布解除极端降雨城市内涝应急响应，同时通知各成员单位。各成员单位按照规定向市防办提交极端降雨城市内涝应急响应工作报告，市防办汇总形成全市极端降雨城市内涝应急响应工作报告，经副指挥长审核、指挥长审定后报省防指，并向省住建厅备案。</w:t>
      </w:r>
    </w:p>
    <w:p>
      <w:pPr>
        <w:topLinePunct/>
        <w:ind w:firstLine="560"/>
        <w:rPr>
          <w:rFonts w:asciiTheme="minorHAnsi" w:hAnsiTheme="minorHAnsi"/>
        </w:rPr>
      </w:pPr>
      <w:r>
        <w:rPr>
          <w:rFonts w:hint="eastAsia"/>
          <w:sz w:val="28"/>
          <w:szCs w:val="28"/>
        </w:rPr>
        <w:t>极端降雨灾害过后，城市防洪（排渍）指挥部要联动各行政机关、事业单位及时清理现场，迅速修复或重建受损设施。市住建主管部门要组织房屋建筑及市政工程建设单位和施工企业对施工现场进行全面排查，具备安全生产条件后方可复工。</w:t>
      </w:r>
    </w:p>
    <w:p>
      <w:pPr>
        <w:pStyle w:val="3"/>
        <w:topLinePunct/>
        <w:ind w:firstLine="0" w:firstLineChars="0"/>
      </w:pPr>
      <w:bookmarkStart w:id="119" w:name="_Toc133666689"/>
      <w:bookmarkStart w:id="120" w:name="_Toc134984895"/>
      <w:r>
        <w:rPr>
          <w:rFonts w:hint="eastAsia"/>
        </w:rPr>
        <w:t>（四）应急演练</w:t>
      </w:r>
      <w:bookmarkEnd w:id="119"/>
      <w:bookmarkEnd w:id="120"/>
    </w:p>
    <w:p>
      <w:pPr>
        <w:topLinePunct/>
        <w:ind w:firstLine="560"/>
        <w:rPr>
          <w:rFonts w:asciiTheme="minorHAnsi" w:hAnsiTheme="minorHAnsi"/>
          <w:sz w:val="28"/>
          <w:szCs w:val="28"/>
        </w:rPr>
      </w:pPr>
      <w:r>
        <w:rPr>
          <w:rFonts w:hint="eastAsia"/>
          <w:sz w:val="28"/>
          <w:szCs w:val="28"/>
        </w:rPr>
        <w:t>城市防洪（排渍）指挥部应广泛开展极端降雨城市内涝等自然灾害的应急预防、避险、自救、互救、防灾、减灾等基本知识和有关法律法规的宣传教育，提高从业人员的防灾减灾意识和应急处置能力。同时通过广播、电视、网络、报刊、短信等多种渠道，开展排水防涝、防洪减灾主题宣传活动，建立健全排水防涝等自然灾害的法律法规和应急管理业务知识技能培训制度，推广普及全民排水防涝、防洪减灾知识和避难自救技能，进一步落实应对突发事件的防范措施，提高全民综合减灾能力。</w:t>
      </w:r>
    </w:p>
    <w:p>
      <w:pPr>
        <w:topLinePunct/>
        <w:ind w:firstLine="560"/>
        <w:rPr>
          <w:rFonts w:asciiTheme="minorHAnsi" w:hAnsiTheme="minorHAnsi"/>
        </w:rPr>
      </w:pPr>
      <w:r>
        <w:rPr>
          <w:rFonts w:hint="eastAsia"/>
          <w:sz w:val="28"/>
          <w:szCs w:val="28"/>
        </w:rPr>
        <w:t>市防汛抗旱指挥部要加强应急抢险队伍能力建设，定期组织极端降雨应急演练，提前通过广播、电视、网络、报刊、短信等多种渠道向全社会宣传告知，公开进行，要求有群众参与确保练有成效。按照大冶市极端降雨城市内涝应急响应程序及实战要求，定期组织相关部门、单位以及群众参与应急技能教育培训和抢险救援演练活动，有效检验与提高排水防涝应急抢险救援能力和部门、单位协同作战能力，提高整体应急反应能力和实战水平。</w:t>
      </w:r>
    </w:p>
    <w:p>
      <w:pPr>
        <w:pStyle w:val="22"/>
        <w:topLinePunct/>
        <w:ind w:firstLine="560"/>
      </w:pPr>
    </w:p>
    <w:p>
      <w:pPr>
        <w:topLinePunct/>
        <w:ind w:firstLine="480"/>
        <w:sectPr>
          <w:pgSz w:w="11906" w:h="16838"/>
          <w:pgMar w:top="1418" w:right="1134" w:bottom="1418" w:left="1701" w:header="851" w:footer="992" w:gutter="0"/>
          <w:cols w:space="425" w:num="1"/>
          <w:docGrid w:type="lines" w:linePitch="312" w:charSpace="0"/>
        </w:sectPr>
      </w:pPr>
    </w:p>
    <w:p>
      <w:pPr>
        <w:pStyle w:val="2"/>
        <w:topLinePunct/>
        <w:spacing w:line="240" w:lineRule="auto"/>
        <w:ind w:firstLine="0" w:firstLineChars="0"/>
        <w:jc w:val="center"/>
      </w:pPr>
      <w:bookmarkStart w:id="121" w:name="_Toc133666690"/>
      <w:bookmarkStart w:id="122" w:name="_Toc134984896"/>
      <w:r>
        <w:rPr>
          <w:rFonts w:hint="eastAsia"/>
        </w:rPr>
        <w:t>六、应急响应保障</w:t>
      </w:r>
      <w:bookmarkEnd w:id="121"/>
      <w:bookmarkEnd w:id="122"/>
    </w:p>
    <w:p>
      <w:pPr>
        <w:pStyle w:val="3"/>
        <w:topLinePunct/>
        <w:ind w:firstLine="0" w:firstLineChars="0"/>
      </w:pPr>
      <w:bookmarkStart w:id="123" w:name="_Toc133666691"/>
      <w:bookmarkStart w:id="124" w:name="_Toc134984897"/>
      <w:r>
        <w:rPr>
          <w:rFonts w:hint="eastAsia"/>
        </w:rPr>
        <w:t>（一）指挥系统能力保障</w:t>
      </w:r>
      <w:bookmarkEnd w:id="123"/>
      <w:bookmarkEnd w:id="124"/>
    </w:p>
    <w:p>
      <w:pPr>
        <w:topLinePunct/>
        <w:ind w:firstLine="560"/>
        <w:rPr>
          <w:rFonts w:asciiTheme="minorHAnsi" w:hAnsiTheme="minorHAnsi"/>
          <w:sz w:val="28"/>
          <w:szCs w:val="28"/>
        </w:rPr>
      </w:pPr>
      <w:r>
        <w:rPr>
          <w:rFonts w:hint="eastAsia"/>
          <w:sz w:val="28"/>
          <w:szCs w:val="28"/>
        </w:rPr>
        <w:t>市防指必须满足极端降雨条件下统筹调度应对处置各类突发公共事件的指挥要求。</w:t>
      </w:r>
    </w:p>
    <w:p>
      <w:pPr>
        <w:topLinePunct/>
        <w:ind w:firstLine="560"/>
        <w:rPr>
          <w:rFonts w:asciiTheme="minorHAnsi" w:hAnsiTheme="minorHAnsi"/>
        </w:rPr>
      </w:pPr>
      <w:r>
        <w:rPr>
          <w:rFonts w:hint="eastAsia"/>
          <w:sz w:val="28"/>
          <w:szCs w:val="28"/>
        </w:rPr>
        <w:t>各成员单位要落实极端降雨城市内涝应急抢险工作期间安全责任制。极端降雨城市内涝应急抢险工作由指挥部统一组织指挥调度。各岗位人员应严格履行岗位职责，严守防汛纪律，确保防汛工作顺利进行。指挥部组织有关人员检查各区极端降雨城市内涝应急抢险工作开展情况，督促落实各项抢险措施。</w:t>
      </w:r>
    </w:p>
    <w:p>
      <w:pPr>
        <w:pStyle w:val="3"/>
        <w:topLinePunct/>
        <w:ind w:firstLine="0" w:firstLineChars="0"/>
      </w:pPr>
      <w:bookmarkStart w:id="125" w:name="_Toc134984898"/>
      <w:bookmarkStart w:id="126" w:name="_Toc133666692"/>
      <w:r>
        <w:rPr>
          <w:rFonts w:hint="eastAsia"/>
        </w:rPr>
        <w:t>（二）气象预警预报保障</w:t>
      </w:r>
      <w:bookmarkEnd w:id="125"/>
      <w:bookmarkEnd w:id="126"/>
    </w:p>
    <w:p>
      <w:pPr>
        <w:topLinePunct/>
        <w:ind w:firstLine="560"/>
        <w:rPr>
          <w:rFonts w:asciiTheme="minorHAnsi" w:hAnsiTheme="minorHAnsi"/>
          <w:sz w:val="28"/>
          <w:szCs w:val="28"/>
          <w:lang w:bidi="zh-CN"/>
        </w:rPr>
      </w:pPr>
      <w:r>
        <w:rPr>
          <w:rFonts w:hint="eastAsia"/>
          <w:sz w:val="28"/>
          <w:szCs w:val="28"/>
          <w:lang w:bidi="zh-CN"/>
        </w:rPr>
        <w:t>气象部门负责制作气象灾害预警。按照气象灾害的影响范围、严重性和紧急程度，预警级别分为一级、二级、三级、四级，分别用红、橙、黄、蓝四种颜色标示，一级为最高级别。</w:t>
      </w:r>
    </w:p>
    <w:p>
      <w:pPr>
        <w:topLinePunct/>
        <w:ind w:firstLine="560"/>
        <w:rPr>
          <w:rFonts w:asciiTheme="minorHAnsi" w:hAnsiTheme="minorHAnsi"/>
          <w:sz w:val="28"/>
          <w:szCs w:val="28"/>
          <w:lang w:bidi="zh-CN"/>
        </w:rPr>
      </w:pPr>
      <w:r>
        <w:rPr>
          <w:rFonts w:hint="eastAsia"/>
          <w:sz w:val="28"/>
          <w:szCs w:val="28"/>
          <w:lang w:bidi="zh-CN"/>
        </w:rPr>
        <w:t>气象部门及时向指挥部报送预警信息。气象灾害预警信息内容包括气象灾害的类别、预警级别、起始时间、可能影响范围、警示事项、应采取的措施和发布机关等。</w:t>
      </w:r>
    </w:p>
    <w:p>
      <w:pPr>
        <w:topLinePunct/>
        <w:ind w:firstLine="560"/>
        <w:rPr>
          <w:rFonts w:asciiTheme="minorHAnsi" w:hAnsiTheme="minorHAnsi"/>
          <w:sz w:val="28"/>
          <w:szCs w:val="28"/>
        </w:rPr>
      </w:pPr>
      <w:r>
        <w:rPr>
          <w:rFonts w:hint="eastAsia"/>
          <w:sz w:val="28"/>
          <w:szCs w:val="28"/>
        </w:rPr>
        <w:t>要加强长江委水文局、湖北省水文水资源局、湖北省黄石市水文水资源勘测局、黄石市气象局等气象、水文监测信息和成果的共享，监测信息要及时报指挥部。</w:t>
      </w:r>
    </w:p>
    <w:p>
      <w:pPr>
        <w:topLinePunct/>
        <w:ind w:firstLine="560"/>
        <w:rPr>
          <w:rFonts w:asciiTheme="minorHAnsi" w:hAnsiTheme="minorHAnsi"/>
          <w:sz w:val="28"/>
          <w:szCs w:val="28"/>
        </w:rPr>
      </w:pPr>
      <w:r>
        <w:rPr>
          <w:rFonts w:hint="eastAsia"/>
          <w:sz w:val="28"/>
          <w:szCs w:val="28"/>
        </w:rPr>
        <w:t>加强对重大灾害天气和水情的联合监测、会商和预报，尽可能延长预见期。当预计未来</w:t>
      </w:r>
      <w:r>
        <w:rPr>
          <w:sz w:val="28"/>
          <w:szCs w:val="28"/>
        </w:rPr>
        <w:t>3</w:t>
      </w:r>
      <w:r>
        <w:rPr>
          <w:rFonts w:hint="eastAsia"/>
          <w:sz w:val="28"/>
          <w:szCs w:val="28"/>
        </w:rPr>
        <w:t>小时内降雨量将达</w:t>
      </w:r>
      <w:r>
        <w:rPr>
          <w:sz w:val="28"/>
          <w:szCs w:val="28"/>
        </w:rPr>
        <w:t>100mm</w:t>
      </w:r>
      <w:r>
        <w:rPr>
          <w:rFonts w:hint="eastAsia"/>
          <w:sz w:val="28"/>
          <w:szCs w:val="28"/>
        </w:rPr>
        <w:t>以上，或者已达</w:t>
      </w:r>
      <w:r>
        <w:rPr>
          <w:sz w:val="28"/>
          <w:szCs w:val="28"/>
        </w:rPr>
        <w:t>100mm</w:t>
      </w:r>
      <w:r>
        <w:rPr>
          <w:rFonts w:hint="eastAsia"/>
          <w:sz w:val="28"/>
          <w:szCs w:val="28"/>
        </w:rPr>
        <w:t>以上且降雨可能持续，持续时间大于</w:t>
      </w:r>
      <w:r>
        <w:rPr>
          <w:sz w:val="28"/>
          <w:szCs w:val="28"/>
        </w:rPr>
        <w:t>2</w:t>
      </w:r>
      <w:r>
        <w:rPr>
          <w:rFonts w:hint="eastAsia"/>
          <w:sz w:val="28"/>
          <w:szCs w:val="28"/>
        </w:rPr>
        <w:t>小时。大冶市气象部门应密切关注上、下游及周边地区水文、气象预报成果，适当加密监测和预报频次，并及时报指挥部，为市防指适时指挥决策提供依据。</w:t>
      </w:r>
    </w:p>
    <w:p>
      <w:pPr>
        <w:topLinePunct/>
        <w:ind w:firstLine="560"/>
        <w:rPr>
          <w:rFonts w:asciiTheme="minorHAnsi" w:hAnsiTheme="minorHAnsi"/>
          <w:sz w:val="28"/>
          <w:szCs w:val="28"/>
        </w:rPr>
      </w:pPr>
      <w:r>
        <w:rPr>
          <w:rFonts w:hint="eastAsia"/>
          <w:sz w:val="28"/>
          <w:szCs w:val="28"/>
        </w:rPr>
        <w:t>当城市内涝造成了水文自动监测系统损毁时，需启动人工观测，确保水文数据的准确性、连续性。</w:t>
      </w:r>
    </w:p>
    <w:p>
      <w:pPr>
        <w:topLinePunct/>
        <w:ind w:firstLine="560"/>
        <w:rPr>
          <w:rFonts w:asciiTheme="minorHAnsi" w:hAnsiTheme="minorHAnsi"/>
        </w:rPr>
      </w:pPr>
      <w:r>
        <w:rPr>
          <w:rFonts w:hint="eastAsia"/>
          <w:sz w:val="28"/>
          <w:szCs w:val="28"/>
        </w:rPr>
        <w:t>当市防办提出极端降雨城市内涝预警响应行动建议，由指挥长决定启动预警响应程序，发布预警信息，并发布实时汛情公告。</w:t>
      </w:r>
    </w:p>
    <w:p>
      <w:pPr>
        <w:pStyle w:val="3"/>
        <w:topLinePunct/>
        <w:ind w:firstLine="0" w:firstLineChars="0"/>
      </w:pPr>
      <w:bookmarkStart w:id="127" w:name="_Toc133666693"/>
      <w:bookmarkStart w:id="128" w:name="_Toc134984899"/>
      <w:r>
        <w:rPr>
          <w:rFonts w:hint="eastAsia"/>
        </w:rPr>
        <w:t>（三）专业技术能力保障</w:t>
      </w:r>
      <w:bookmarkEnd w:id="127"/>
      <w:bookmarkEnd w:id="128"/>
    </w:p>
    <w:p>
      <w:pPr>
        <w:topLinePunct/>
        <w:ind w:firstLine="560"/>
        <w:rPr>
          <w:rFonts w:asciiTheme="minorHAnsi" w:hAnsiTheme="minorHAnsi"/>
          <w:sz w:val="28"/>
          <w:szCs w:val="28"/>
        </w:rPr>
      </w:pPr>
      <w:r>
        <w:rPr>
          <w:rFonts w:hint="eastAsia"/>
          <w:sz w:val="28"/>
          <w:szCs w:val="28"/>
        </w:rPr>
        <w:t>市防指建立城市内涝积水点数据库，重点区域地理、地质条件数据库，排水设施数据库，实现极端降雨城市内涝应急抢险数据快速查询。</w:t>
      </w:r>
    </w:p>
    <w:p>
      <w:pPr>
        <w:topLinePunct/>
        <w:ind w:firstLine="560"/>
        <w:rPr>
          <w:sz w:val="28"/>
          <w:szCs w:val="28"/>
        </w:rPr>
      </w:pPr>
      <w:r>
        <w:rPr>
          <w:rFonts w:hint="eastAsia"/>
          <w:sz w:val="28"/>
          <w:szCs w:val="28"/>
        </w:rPr>
        <w:t>当发生极端降雨城市内涝险情时，指挥部根据需要派出专家组提供险情研判、应对指导的技术支撑。</w:t>
      </w:r>
    </w:p>
    <w:p>
      <w:pPr>
        <w:topLinePunct/>
        <w:ind w:firstLine="560"/>
        <w:rPr>
          <w:rFonts w:asciiTheme="minorHAnsi" w:hAnsiTheme="minorHAnsi"/>
        </w:rPr>
      </w:pPr>
      <w:r>
        <w:rPr>
          <w:rFonts w:hint="eastAsia"/>
          <w:sz w:val="28"/>
          <w:szCs w:val="28"/>
        </w:rPr>
        <w:t>根据极端降雨城市内涝灾害情况，市防指组织社会力量投入极端降雨城市内涝抢险。</w:t>
      </w:r>
    </w:p>
    <w:p>
      <w:pPr>
        <w:pStyle w:val="3"/>
        <w:topLinePunct/>
        <w:ind w:firstLine="0" w:firstLineChars="0"/>
      </w:pPr>
      <w:bookmarkStart w:id="129" w:name="_Toc133666694"/>
      <w:bookmarkStart w:id="130" w:name="_Toc134984900"/>
      <w:r>
        <w:rPr>
          <w:rFonts w:hint="eastAsia"/>
        </w:rPr>
        <w:t>（四）应急救援力量与装备保障</w:t>
      </w:r>
      <w:bookmarkEnd w:id="129"/>
      <w:bookmarkEnd w:id="130"/>
    </w:p>
    <w:p>
      <w:pPr>
        <w:topLinePunct/>
        <w:ind w:firstLine="560"/>
        <w:rPr>
          <w:rFonts w:asciiTheme="minorHAnsi" w:hAnsiTheme="minorHAnsi"/>
          <w:sz w:val="28"/>
          <w:szCs w:val="28"/>
        </w:rPr>
      </w:pPr>
      <w:r>
        <w:rPr>
          <w:rFonts w:hint="eastAsia"/>
          <w:sz w:val="28"/>
          <w:szCs w:val="28"/>
        </w:rPr>
        <w:t>市防指组织公安、消防等基础救援力量，以及各部门专业应急救援力量队伍和社会救援力量成立应急抢险队伍，机动抢险队伍主要有消防救援大队和公安干警组成，每年安排不少于</w:t>
      </w:r>
      <w:r>
        <w:rPr>
          <w:sz w:val="28"/>
          <w:szCs w:val="28"/>
        </w:rPr>
        <w:t>1</w:t>
      </w:r>
      <w:r>
        <w:rPr>
          <w:rFonts w:hint="eastAsia"/>
          <w:sz w:val="28"/>
          <w:szCs w:val="28"/>
        </w:rPr>
        <w:t>次城市内涝应急演练，确保队伍建设管理水平满足极端降雨条件下高效有序实施救援要求。险情严重时群众抢险队伍及时配合抢险，确保极端降雨城市内涝应急抢险工作顺利进行。</w:t>
      </w:r>
    </w:p>
    <w:p>
      <w:pPr>
        <w:topLinePunct/>
        <w:ind w:firstLine="560"/>
        <w:rPr>
          <w:rFonts w:asciiTheme="minorHAnsi" w:hAnsiTheme="minorHAnsi"/>
          <w:sz w:val="28"/>
          <w:szCs w:val="28"/>
        </w:rPr>
      </w:pPr>
      <w:r>
        <w:rPr>
          <w:rFonts w:hint="eastAsia"/>
          <w:sz w:val="28"/>
          <w:szCs w:val="28"/>
        </w:rPr>
        <w:t>物资设备保障组做好极端降雨城市内涝应急抢险工作期间后勤服务保障工作，为防汛抢险人员提供吃、住、交通、防汛设备等方面的保障。</w:t>
      </w:r>
    </w:p>
    <w:p>
      <w:pPr>
        <w:topLinePunct/>
        <w:ind w:firstLine="560"/>
        <w:rPr>
          <w:rFonts w:asciiTheme="minorHAnsi" w:hAnsiTheme="minorHAnsi"/>
        </w:rPr>
      </w:pPr>
      <w:r>
        <w:rPr>
          <w:rFonts w:hint="eastAsia"/>
          <w:sz w:val="28"/>
          <w:szCs w:val="28"/>
        </w:rPr>
        <w:t>市防指要做好防暑降温工作，备齐备足救生衣等安全防护用品，加强防汛抢险人员安全防护。</w:t>
      </w:r>
    </w:p>
    <w:p>
      <w:pPr>
        <w:pStyle w:val="3"/>
        <w:topLinePunct/>
        <w:ind w:firstLine="0" w:firstLineChars="0"/>
      </w:pPr>
      <w:bookmarkStart w:id="131" w:name="_Toc134984901"/>
      <w:bookmarkStart w:id="132" w:name="_Toc133666695"/>
      <w:r>
        <w:rPr>
          <w:rFonts w:hint="eastAsia"/>
        </w:rPr>
        <w:t>（五）通信与电力保障</w:t>
      </w:r>
      <w:bookmarkEnd w:id="131"/>
      <w:bookmarkEnd w:id="132"/>
    </w:p>
    <w:p>
      <w:pPr>
        <w:topLinePunct/>
        <w:ind w:firstLine="560"/>
        <w:rPr>
          <w:rFonts w:asciiTheme="minorHAnsi" w:hAnsiTheme="minorHAnsi"/>
          <w:sz w:val="28"/>
          <w:szCs w:val="28"/>
        </w:rPr>
      </w:pPr>
      <w:r>
        <w:rPr>
          <w:rFonts w:hint="eastAsia"/>
          <w:sz w:val="28"/>
          <w:szCs w:val="28"/>
        </w:rPr>
        <w:t>市防办应与各通讯运营单位联系，保障信息网络畅通。市电信、通信部门应优先提供指挥部通信的服务，保障气象、文、汛情、灾情信息的及时传递。在紧急情况下，指挥部采用广播、电视、网络、报刊、短信等多种方式及时向社会发布信息，通知群众快速撤离，确保人民生命的安全。</w:t>
      </w:r>
    </w:p>
    <w:p>
      <w:pPr>
        <w:topLinePunct/>
        <w:ind w:firstLine="560"/>
        <w:rPr>
          <w:rFonts w:asciiTheme="minorHAnsi" w:hAnsiTheme="minorHAnsi"/>
          <w:sz w:val="28"/>
          <w:szCs w:val="28"/>
        </w:rPr>
      </w:pPr>
      <w:r>
        <w:rPr>
          <w:rFonts w:hint="eastAsia"/>
          <w:sz w:val="28"/>
          <w:szCs w:val="28"/>
        </w:rPr>
        <w:t>市防办应与供电部门保持联系畅通，供电部门应切实保障汛期泵站、涵闸等排涝设施用电及安全，确保防汛用电不受影响。</w:t>
      </w:r>
    </w:p>
    <w:p>
      <w:pPr>
        <w:topLinePunct/>
        <w:ind w:firstLine="560"/>
      </w:pPr>
      <w:r>
        <w:rPr>
          <w:rFonts w:hint="eastAsia"/>
          <w:sz w:val="28"/>
          <w:szCs w:val="28"/>
        </w:rPr>
        <w:t>极端降雨城市内涝引发的部分区域故障停电后，供电公司应立即了解设施受损及停电范围，对危及人身安全的设备实施停电，迅速隔离故障区，防止事故扩大；同时向政府汇报，密切联系防汛机构及气象部门，掌握雨情、灾情以制订具体抢险方案；联合市内各应急队伍开展抢险，适机出动应急发电车、携带小型发电机或架设临时线路，为抗洪抢险、抢排等提供应急救援现场临时供电，优先保障沿江和沿湖电力设施。供电公司加强与当地防汛机构联系，及时获取水情，根据水位变化及设施标高，提前汇报当地政府并通报重要用户，有序停电避险并对部分设施采取撤离保护、转移疏散。</w:t>
      </w:r>
      <w:bookmarkStart w:id="133" w:name="_Toc133666696"/>
    </w:p>
    <w:p>
      <w:pPr>
        <w:pStyle w:val="3"/>
        <w:topLinePunct/>
        <w:ind w:firstLine="0" w:firstLineChars="0"/>
      </w:pPr>
      <w:bookmarkStart w:id="134" w:name="_Toc134984902"/>
      <w:r>
        <w:rPr>
          <w:rFonts w:hint="eastAsia"/>
        </w:rPr>
        <w:t>（六）交通运输保障</w:t>
      </w:r>
      <w:bookmarkEnd w:id="133"/>
      <w:bookmarkEnd w:id="134"/>
    </w:p>
    <w:p>
      <w:pPr>
        <w:topLinePunct/>
        <w:ind w:firstLine="560"/>
        <w:rPr>
          <w:rFonts w:asciiTheme="minorHAnsi" w:hAnsiTheme="minorHAnsi"/>
          <w:sz w:val="28"/>
          <w:szCs w:val="28"/>
        </w:rPr>
      </w:pPr>
      <w:r>
        <w:rPr>
          <w:rFonts w:hint="eastAsia"/>
          <w:sz w:val="28"/>
          <w:szCs w:val="28"/>
        </w:rPr>
        <w:t>由公安、交通、城管等部门负责落实现场交通管制等措施，依法实施应急交通管制，及时疏导交通，维护交通秩序，必要时提供防汛抢险运输车辆优先通行条件。要尽快组织专业队伍，恢复被毁坏的交通设施，确保交通畅通。</w:t>
      </w:r>
    </w:p>
    <w:p>
      <w:pPr>
        <w:topLinePunct/>
        <w:ind w:firstLine="560"/>
        <w:rPr>
          <w:rFonts w:asciiTheme="minorHAnsi" w:hAnsiTheme="minorHAnsi"/>
          <w:sz w:val="28"/>
          <w:szCs w:val="28"/>
        </w:rPr>
      </w:pPr>
      <w:r>
        <w:rPr>
          <w:rFonts w:hint="eastAsia"/>
          <w:sz w:val="28"/>
          <w:szCs w:val="28"/>
        </w:rPr>
        <w:t>极端降雨城市内涝应急抢险紧急运输任务由市交通运输部门统一领导调度，协调组织城市内涝期间突发运输任务。</w:t>
      </w:r>
    </w:p>
    <w:p>
      <w:pPr>
        <w:topLinePunct/>
        <w:ind w:firstLine="560"/>
        <w:rPr>
          <w:rFonts w:asciiTheme="minorHAnsi" w:hAnsiTheme="minorHAnsi"/>
          <w:sz w:val="28"/>
          <w:szCs w:val="28"/>
        </w:rPr>
      </w:pPr>
      <w:r>
        <w:rPr>
          <w:rFonts w:hint="eastAsia"/>
          <w:sz w:val="28"/>
          <w:szCs w:val="28"/>
        </w:rPr>
        <w:t>市交通运输部门必须将常备运输工具编制造册，建立工作队伍组成人员的通讯联络机制，并报市交通运输局备案。</w:t>
      </w:r>
    </w:p>
    <w:p>
      <w:pPr>
        <w:topLinePunct/>
        <w:ind w:firstLine="560"/>
        <w:rPr>
          <w:rFonts w:asciiTheme="minorHAnsi" w:hAnsiTheme="minorHAnsi"/>
        </w:rPr>
      </w:pPr>
      <w:r>
        <w:rPr>
          <w:rFonts w:hint="eastAsia"/>
          <w:sz w:val="28"/>
          <w:szCs w:val="28"/>
        </w:rPr>
        <w:t>运输工具的提供单位，必须保证运输工具的安全性能，指派经验丰富的驾驶人员和技术人员承担运输任务，并建立相应的安全机制。市交通运输局依照职责，对运输工具的提供单位的安全生产进行监督检查。</w:t>
      </w:r>
    </w:p>
    <w:p>
      <w:pPr>
        <w:pStyle w:val="3"/>
        <w:topLinePunct/>
        <w:ind w:firstLine="0" w:firstLineChars="0"/>
      </w:pPr>
      <w:bookmarkStart w:id="135" w:name="_Toc134984903"/>
      <w:bookmarkStart w:id="136" w:name="_Toc133666697"/>
      <w:r>
        <w:rPr>
          <w:rFonts w:hint="eastAsia"/>
        </w:rPr>
        <w:t>（七）医疗卫生保障</w:t>
      </w:r>
      <w:bookmarkEnd w:id="135"/>
      <w:bookmarkEnd w:id="136"/>
    </w:p>
    <w:p>
      <w:pPr>
        <w:topLinePunct/>
        <w:ind w:firstLine="560"/>
        <w:rPr>
          <w:rFonts w:asciiTheme="minorHAnsi" w:hAnsiTheme="minorHAnsi"/>
          <w:sz w:val="28"/>
          <w:szCs w:val="28"/>
        </w:rPr>
      </w:pPr>
      <w:r>
        <w:rPr>
          <w:rFonts w:hint="eastAsia"/>
          <w:sz w:val="28"/>
          <w:szCs w:val="28"/>
        </w:rPr>
        <w:t>市卫生健康局调集和储备必要的防护器材、消毒药品、备用电源和抢救伤员必备的器械等，以备随时应用。</w:t>
      </w:r>
    </w:p>
    <w:p>
      <w:pPr>
        <w:topLinePunct/>
        <w:ind w:firstLine="560"/>
        <w:rPr>
          <w:rFonts w:asciiTheme="minorHAnsi" w:hAnsiTheme="minorHAnsi"/>
          <w:sz w:val="28"/>
          <w:szCs w:val="28"/>
        </w:rPr>
      </w:pPr>
      <w:r>
        <w:rPr>
          <w:rFonts w:hint="eastAsia"/>
          <w:sz w:val="28"/>
          <w:szCs w:val="28"/>
        </w:rPr>
        <w:t>抢险人员进入和撤出现场由指挥部视情况作出决定。抢险人员进入风险区域，应采取防护措施以保证自身安全。</w:t>
      </w:r>
    </w:p>
    <w:p>
      <w:pPr>
        <w:topLinePunct/>
        <w:ind w:firstLine="560"/>
        <w:rPr>
          <w:rFonts w:asciiTheme="minorHAnsi" w:hAnsiTheme="minorHAnsi"/>
          <w:sz w:val="28"/>
          <w:szCs w:val="28"/>
        </w:rPr>
      </w:pPr>
      <w:r>
        <w:rPr>
          <w:rFonts w:hint="eastAsia"/>
          <w:sz w:val="28"/>
          <w:szCs w:val="28"/>
        </w:rPr>
        <w:t>市防指根据实际情况及时发布通告，防止人、畜进入风险区域。</w:t>
      </w:r>
    </w:p>
    <w:p>
      <w:pPr>
        <w:topLinePunct/>
        <w:ind w:firstLine="560"/>
        <w:rPr>
          <w:rFonts w:asciiTheme="minorHAnsi" w:hAnsiTheme="minorHAnsi"/>
          <w:sz w:val="28"/>
          <w:szCs w:val="28"/>
        </w:rPr>
      </w:pPr>
      <w:r>
        <w:rPr>
          <w:rFonts w:hint="eastAsia"/>
          <w:sz w:val="28"/>
          <w:szCs w:val="28"/>
        </w:rPr>
        <w:t>参与医疗救援的医疗机构和人员要以最快速度赶赴受灾地点，开展现场医疗急救、检伤分类、伤病员转运和院内救治等工作，在群众临时安置点、交通站点、抢险工地等人群聚集的地点设立临时医疗点，组织医疗队开展巡回医疗服务，确保伤病员和抢险工作人员得到及时、有效的救治。医疗卫生机构要加强传染病疫情、突发公共卫生事件监测工作，根据受灾地区可能发生的传染病疫情和突发公共卫生事件风险，及时开展健康教育、预防性服药和应急接种等工作。一旦发生传染病疫情和突发公共卫生事件，市卫生健康局要组织疾病预防控制和卫生监督机构开展核实诊断、现场流行病学调查、标本采集与检测、疫情和突发公共卫生事件控制等工作。</w:t>
      </w:r>
    </w:p>
    <w:p>
      <w:pPr>
        <w:topLinePunct/>
        <w:ind w:firstLine="560"/>
        <w:rPr>
          <w:rFonts w:asciiTheme="minorHAnsi" w:hAnsiTheme="minorHAnsi"/>
          <w:sz w:val="28"/>
          <w:szCs w:val="28"/>
        </w:rPr>
      </w:pPr>
      <w:r>
        <w:rPr>
          <w:rFonts w:hint="eastAsia"/>
          <w:sz w:val="28"/>
          <w:szCs w:val="28"/>
        </w:rPr>
        <w:t>市卫生健康局应加强食品卫生、饮用水卫生和公共场所卫生监督监测工作，依法对饮用水供水单位的供水活动和公共场所卫生实施监管。综合协调各有关部门加强食品安全监督检查，指导群众临时安置点集中配餐的食品卫生和饮用水卫生工作，防止食物中毒、介水传染病等发生。</w:t>
      </w:r>
    </w:p>
    <w:p>
      <w:pPr>
        <w:topLinePunct/>
        <w:ind w:firstLine="560"/>
        <w:rPr>
          <w:rFonts w:asciiTheme="minorHAnsi" w:hAnsiTheme="minorHAnsi"/>
        </w:rPr>
      </w:pPr>
      <w:r>
        <w:rPr>
          <w:rFonts w:hint="eastAsia"/>
          <w:sz w:val="28"/>
          <w:szCs w:val="28"/>
        </w:rPr>
        <w:t>市卫生健康局根据实际需要，组织专业人员开展心理疏导和心理危机干预工作，消除民众心理焦虑、恐慌等负面情绪。在同级党委、政府领导下，协调教育、民政、工会、共青团、妇联等部门和团体，协同开展心理援助工作。</w:t>
      </w:r>
    </w:p>
    <w:p>
      <w:pPr>
        <w:pStyle w:val="3"/>
        <w:topLinePunct/>
        <w:ind w:firstLine="0" w:firstLineChars="0"/>
      </w:pPr>
      <w:bookmarkStart w:id="137" w:name="_Toc133666698"/>
      <w:bookmarkStart w:id="138" w:name="_Toc134984904"/>
      <w:r>
        <w:rPr>
          <w:rFonts w:hint="eastAsia"/>
        </w:rPr>
        <w:t>（八）资金物资保障</w:t>
      </w:r>
      <w:bookmarkEnd w:id="137"/>
      <w:bookmarkEnd w:id="138"/>
    </w:p>
    <w:p>
      <w:pPr>
        <w:topLinePunct/>
        <w:ind w:firstLine="560"/>
        <w:rPr>
          <w:rFonts w:asciiTheme="minorHAnsi" w:hAnsiTheme="minorHAnsi"/>
          <w:sz w:val="28"/>
          <w:szCs w:val="28"/>
        </w:rPr>
      </w:pPr>
      <w:r>
        <w:rPr>
          <w:rFonts w:hint="eastAsia"/>
          <w:sz w:val="28"/>
          <w:szCs w:val="28"/>
        </w:rPr>
        <w:t>财政部门负责统筹安排极端降雨城市内涝应急抢险专项资金。</w:t>
      </w:r>
    </w:p>
    <w:p>
      <w:pPr>
        <w:topLinePunct/>
        <w:ind w:firstLine="560"/>
        <w:rPr>
          <w:rFonts w:asciiTheme="minorHAnsi" w:hAnsiTheme="minorHAnsi"/>
          <w:sz w:val="28"/>
          <w:szCs w:val="28"/>
        </w:rPr>
      </w:pPr>
      <w:r>
        <w:rPr>
          <w:rFonts w:hint="eastAsia"/>
          <w:sz w:val="28"/>
          <w:szCs w:val="28"/>
        </w:rPr>
        <w:t>市防指根据情况做好应急抢险救灾物资储备，在本市储备物资不能满足需要的情况下，向省防指申请援助。极端降雨城市内涝期间各级储备物资消耗过多时，应及时进行补充储备。</w:t>
      </w:r>
    </w:p>
    <w:p>
      <w:pPr>
        <w:topLinePunct/>
        <w:ind w:firstLine="560"/>
        <w:rPr>
          <w:rFonts w:asciiTheme="minorHAnsi" w:hAnsiTheme="minorHAnsi"/>
          <w:sz w:val="28"/>
          <w:szCs w:val="28"/>
        </w:rPr>
      </w:pPr>
      <w:r>
        <w:rPr>
          <w:rFonts w:hint="eastAsia"/>
          <w:sz w:val="28"/>
          <w:szCs w:val="28"/>
        </w:rPr>
        <w:t>市防指统筹做好极端降雨城市内涝应急抢险期间后勤服务保障工作，为抢险人员提供吃、住、交通、防汛设备等方面的保障。</w:t>
      </w:r>
    </w:p>
    <w:p>
      <w:pPr>
        <w:topLinePunct/>
        <w:ind w:firstLine="560"/>
        <w:rPr>
          <w:rFonts w:asciiTheme="minorHAnsi" w:hAnsiTheme="minorHAnsi"/>
        </w:rPr>
      </w:pPr>
      <w:r>
        <w:rPr>
          <w:rFonts w:hint="eastAsia"/>
          <w:sz w:val="28"/>
          <w:szCs w:val="28"/>
        </w:rPr>
        <w:t>市防指各成员单位应储备必要的应急抢险物资，并进行合理配置。建立应急抢险救灾物资器材储备和管理制度，加强对物资器材的储备和动态管理，保证应急抢险救灾物资、器材得到及时补充和更新。</w:t>
      </w:r>
    </w:p>
    <w:p>
      <w:pPr>
        <w:pStyle w:val="3"/>
        <w:topLinePunct/>
        <w:ind w:firstLine="0" w:firstLineChars="0"/>
      </w:pPr>
      <w:bookmarkStart w:id="139" w:name="_Toc134984905"/>
      <w:bookmarkStart w:id="140" w:name="_Toc133666699"/>
      <w:r>
        <w:rPr>
          <w:rFonts w:hint="eastAsia"/>
        </w:rPr>
        <w:t>（九）避灾场所</w:t>
      </w:r>
      <w:bookmarkEnd w:id="139"/>
      <w:bookmarkEnd w:id="140"/>
    </w:p>
    <w:p>
      <w:pPr>
        <w:pStyle w:val="25"/>
        <w:topLinePunct/>
        <w:ind w:firstLine="560"/>
        <w:rPr>
          <w:sz w:val="28"/>
          <w:szCs w:val="28"/>
        </w:rPr>
      </w:pPr>
      <w:r>
        <w:rPr>
          <w:rFonts w:hint="eastAsia"/>
          <w:sz w:val="28"/>
          <w:szCs w:val="28"/>
        </w:rPr>
        <w:t>大冶市城区应急避灾场所用于灾民安置，应储备医疗卫生、生活保障所必需的物资，紧急情况可征用地势较高的学校、广场、公园、体育场（馆）等设施开辟应急避灾场所，为极端降雨城市内涝灾害受灾群众提供应急避灾。</w:t>
      </w:r>
    </w:p>
    <w:p>
      <w:pPr>
        <w:pStyle w:val="25"/>
        <w:topLinePunct/>
        <w:ind w:firstLine="480"/>
      </w:pPr>
    </w:p>
    <w:p>
      <w:pPr>
        <w:topLinePunct/>
        <w:ind w:firstLine="480"/>
        <w:sectPr>
          <w:pgSz w:w="11906" w:h="16838"/>
          <w:pgMar w:top="1418" w:right="1134" w:bottom="1418" w:left="1701" w:header="851" w:footer="992" w:gutter="0"/>
          <w:cols w:space="425" w:num="1"/>
          <w:docGrid w:type="lines" w:linePitch="326" w:charSpace="0"/>
        </w:sectPr>
      </w:pPr>
    </w:p>
    <w:p>
      <w:pPr>
        <w:pStyle w:val="2"/>
        <w:topLinePunct/>
        <w:spacing w:line="240" w:lineRule="auto"/>
        <w:ind w:firstLine="0" w:firstLineChars="0"/>
        <w:jc w:val="center"/>
      </w:pPr>
      <w:bookmarkStart w:id="141" w:name="_Toc133666700"/>
      <w:bookmarkStart w:id="142" w:name="_Toc134984906"/>
      <w:r>
        <w:rPr>
          <w:rFonts w:hint="eastAsia"/>
        </w:rPr>
        <w:t>七、附则</w:t>
      </w:r>
      <w:bookmarkEnd w:id="141"/>
      <w:bookmarkEnd w:id="142"/>
    </w:p>
    <w:p>
      <w:pPr>
        <w:pStyle w:val="3"/>
        <w:topLinePunct/>
        <w:ind w:firstLine="0" w:firstLineChars="0"/>
      </w:pPr>
      <w:bookmarkStart w:id="143" w:name="_Toc133666701"/>
      <w:bookmarkStart w:id="144" w:name="_Toc134984907"/>
      <w:r>
        <w:rPr>
          <w:rFonts w:hint="eastAsia"/>
        </w:rPr>
        <w:t>（一）术语解释</w:t>
      </w:r>
      <w:bookmarkEnd w:id="143"/>
      <w:bookmarkEnd w:id="144"/>
    </w:p>
    <w:p>
      <w:pPr>
        <w:pStyle w:val="25"/>
        <w:topLinePunct/>
        <w:ind w:firstLine="560"/>
        <w:rPr>
          <w:sz w:val="28"/>
          <w:szCs w:val="28"/>
        </w:rPr>
      </w:pPr>
      <w:r>
        <w:rPr>
          <w:sz w:val="28"/>
          <w:szCs w:val="28"/>
        </w:rPr>
        <w:t>1</w:t>
      </w:r>
      <w:r>
        <w:rPr>
          <w:rFonts w:hint="eastAsia"/>
          <w:sz w:val="28"/>
          <w:szCs w:val="28"/>
        </w:rPr>
        <w:t>、暴雨强度</w:t>
      </w:r>
    </w:p>
    <w:p>
      <w:pPr>
        <w:pStyle w:val="25"/>
        <w:topLinePunct/>
        <w:ind w:firstLine="560"/>
        <w:rPr>
          <w:sz w:val="28"/>
          <w:szCs w:val="28"/>
        </w:rPr>
      </w:pPr>
      <w:r>
        <w:rPr>
          <w:rFonts w:hint="eastAsia"/>
          <w:sz w:val="28"/>
          <w:szCs w:val="28"/>
        </w:rPr>
        <w:t>本预案中“</w:t>
      </w:r>
      <w:r>
        <w:rPr>
          <w:sz w:val="28"/>
          <w:szCs w:val="28"/>
        </w:rPr>
        <w:t>**</w:t>
      </w:r>
      <w:r>
        <w:rPr>
          <w:rFonts w:hint="eastAsia"/>
          <w:sz w:val="28"/>
          <w:szCs w:val="28"/>
        </w:rPr>
        <w:t>年一遇暴雨”是指“</w:t>
      </w:r>
      <w:r>
        <w:rPr>
          <w:sz w:val="28"/>
          <w:szCs w:val="28"/>
        </w:rPr>
        <w:t>**</w:t>
      </w:r>
      <w:r>
        <w:rPr>
          <w:rFonts w:hint="eastAsia"/>
          <w:sz w:val="28"/>
          <w:szCs w:val="28"/>
        </w:rPr>
        <w:t>年一遇日最大降雨量”。</w:t>
      </w:r>
    </w:p>
    <w:p>
      <w:pPr>
        <w:pStyle w:val="25"/>
        <w:topLinePunct/>
        <w:ind w:firstLine="560"/>
        <w:rPr>
          <w:sz w:val="28"/>
          <w:szCs w:val="28"/>
        </w:rPr>
      </w:pPr>
      <w:r>
        <w:rPr>
          <w:sz w:val="28"/>
          <w:szCs w:val="28"/>
        </w:rPr>
        <w:t>2</w:t>
      </w:r>
      <w:r>
        <w:rPr>
          <w:rFonts w:hint="eastAsia"/>
          <w:sz w:val="28"/>
          <w:szCs w:val="28"/>
        </w:rPr>
        <w:t>、极端降雨</w:t>
      </w:r>
    </w:p>
    <w:p>
      <w:pPr>
        <w:topLinePunct/>
        <w:ind w:firstLine="560"/>
        <w:rPr>
          <w:rFonts w:asciiTheme="minorHAnsi" w:hAnsiTheme="minorHAnsi"/>
        </w:rPr>
      </w:pPr>
      <w:r>
        <w:rPr>
          <w:rFonts w:hint="eastAsia"/>
          <w:sz w:val="28"/>
          <w:szCs w:val="28"/>
        </w:rPr>
        <w:t>本文所指极端降雨是指在一定地区、一定时间内突发的超出城市防洪排涝能力的强降雨，发生概率小，影响范围大，预报监测难。</w:t>
      </w:r>
    </w:p>
    <w:p>
      <w:pPr>
        <w:pStyle w:val="3"/>
        <w:topLinePunct/>
        <w:ind w:firstLine="0" w:firstLineChars="0"/>
      </w:pPr>
      <w:bookmarkStart w:id="145" w:name="_Toc133666702"/>
      <w:bookmarkStart w:id="146" w:name="_Toc134984908"/>
      <w:r>
        <w:rPr>
          <w:rFonts w:hint="eastAsia"/>
        </w:rPr>
        <w:t>（二）新闻报道</w:t>
      </w:r>
      <w:bookmarkEnd w:id="145"/>
      <w:bookmarkEnd w:id="146"/>
    </w:p>
    <w:p>
      <w:pPr>
        <w:pStyle w:val="25"/>
        <w:topLinePunct/>
        <w:ind w:firstLine="560"/>
        <w:rPr>
          <w:sz w:val="28"/>
          <w:szCs w:val="28"/>
        </w:rPr>
      </w:pPr>
      <w:r>
        <w:rPr>
          <w:rFonts w:hint="eastAsia"/>
          <w:sz w:val="28"/>
          <w:szCs w:val="28"/>
        </w:rPr>
        <w:t>市委宣传部负责把握宣传工作导向，组织新闻媒体做好宣传工作，指导协调有关部门做好应急抢险的信息发布工作。市防办及各成员单位要加强各自部门的信息发布管理工作，掌握新闻报道主导权，做好舆论正面引导，本着真实、积极、稳妥、适度的原则进行报道，减少负面影响，维护社会平安稳定。</w:t>
      </w:r>
    </w:p>
    <w:p>
      <w:pPr>
        <w:pStyle w:val="3"/>
        <w:topLinePunct/>
        <w:ind w:firstLine="0" w:firstLineChars="0"/>
      </w:pPr>
      <w:bookmarkStart w:id="147" w:name="_Toc134984909"/>
      <w:bookmarkStart w:id="148" w:name="_Toc133666703"/>
      <w:r>
        <w:rPr>
          <w:rFonts w:hint="eastAsia"/>
        </w:rPr>
        <w:t>（三）奖励与追究责任</w:t>
      </w:r>
      <w:bookmarkEnd w:id="147"/>
      <w:bookmarkEnd w:id="148"/>
    </w:p>
    <w:p>
      <w:pPr>
        <w:topLinePunct/>
        <w:ind w:firstLine="560"/>
        <w:rPr>
          <w:sz w:val="28"/>
          <w:szCs w:val="28"/>
        </w:rPr>
      </w:pPr>
      <w:r>
        <w:rPr>
          <w:rFonts w:hint="eastAsia"/>
          <w:sz w:val="28"/>
          <w:szCs w:val="28"/>
        </w:rPr>
        <w:t>对防汛抗洪抢险救灾做出突出贡献的先进集体和个人，由市政府或人社局、市防指联合通报嘉奖或表彰；对防汛抗洪抢险救灾中英勇献身的人员，按照规定追认烈士；对防汛抗洪救灾工作中玩忽职守造成损失的，依据国家《防洪法》、《防汛条例》、《公务员法》和省、市配套法规，追究当事人的责任，并予以处罚。</w:t>
      </w:r>
    </w:p>
    <w:p>
      <w:pPr>
        <w:pStyle w:val="3"/>
        <w:topLinePunct/>
        <w:ind w:firstLine="0" w:firstLineChars="0"/>
      </w:pPr>
      <w:bookmarkStart w:id="149" w:name="_Toc134984910"/>
      <w:bookmarkStart w:id="150" w:name="_Toc133666704"/>
      <w:r>
        <w:rPr>
          <w:rFonts w:hint="eastAsia"/>
        </w:rPr>
        <w:t>（四）预案管理与更新</w:t>
      </w:r>
      <w:bookmarkEnd w:id="149"/>
      <w:bookmarkEnd w:id="150"/>
    </w:p>
    <w:p>
      <w:pPr>
        <w:pStyle w:val="25"/>
        <w:topLinePunct/>
        <w:ind w:firstLine="560"/>
        <w:rPr>
          <w:sz w:val="28"/>
          <w:szCs w:val="28"/>
        </w:rPr>
      </w:pPr>
      <w:r>
        <w:rPr>
          <w:rFonts w:hint="eastAsia"/>
          <w:sz w:val="28"/>
          <w:szCs w:val="28"/>
        </w:rPr>
        <w:t>本预案由市防汛抗旱指挥部办公室负责管理，及时根据城市内涝原因、处置情况和实施中发现的问题修订完善预案，并定期组织评审。应急预案原则上每年更新修订一次，在应急预案新版本发布之前，所有工作均按照最近一次已发布的版本执行。</w:t>
      </w:r>
    </w:p>
    <w:p>
      <w:pPr>
        <w:pStyle w:val="3"/>
        <w:topLinePunct/>
        <w:ind w:firstLine="0" w:firstLineChars="0"/>
      </w:pPr>
      <w:bookmarkStart w:id="151" w:name="_Toc133666705"/>
      <w:bookmarkStart w:id="152" w:name="_Toc134984911"/>
      <w:r>
        <w:rPr>
          <w:rFonts w:hint="eastAsia"/>
        </w:rPr>
        <w:t>（五）预案实施时间</w:t>
      </w:r>
      <w:bookmarkEnd w:id="151"/>
      <w:bookmarkEnd w:id="152"/>
    </w:p>
    <w:p>
      <w:pPr>
        <w:pStyle w:val="25"/>
        <w:topLinePunct/>
        <w:ind w:firstLine="560"/>
        <w:rPr>
          <w:sz w:val="28"/>
          <w:szCs w:val="28"/>
        </w:rPr>
      </w:pPr>
      <w:r>
        <w:rPr>
          <w:rFonts w:hint="eastAsia"/>
          <w:sz w:val="28"/>
          <w:szCs w:val="28"/>
        </w:rPr>
        <w:t>本预案（含修订版）自印发之日起实施，由市城市防洪（排渍）指挥部负责解释。</w:t>
      </w:r>
    </w:p>
    <w:p>
      <w:pPr>
        <w:pStyle w:val="25"/>
        <w:topLinePunct/>
        <w:ind w:firstLine="480"/>
        <w:rPr>
          <w:highlight w:val="yellow"/>
        </w:rPr>
      </w:pPr>
    </w:p>
    <w:p>
      <w:pPr>
        <w:pStyle w:val="25"/>
        <w:topLinePunct/>
        <w:ind w:firstLine="480"/>
        <w:rPr>
          <w:highlight w:val="yellow"/>
        </w:rPr>
        <w:sectPr>
          <w:pgSz w:w="11906" w:h="16838"/>
          <w:pgMar w:top="1418" w:right="1134" w:bottom="1418" w:left="1701" w:header="851" w:footer="992" w:gutter="0"/>
          <w:cols w:space="425" w:num="1"/>
          <w:docGrid w:type="lines" w:linePitch="312" w:charSpace="0"/>
        </w:sectPr>
      </w:pPr>
    </w:p>
    <w:p>
      <w:pPr>
        <w:pStyle w:val="2"/>
        <w:topLinePunct/>
        <w:spacing w:line="240" w:lineRule="auto"/>
        <w:ind w:firstLine="0" w:firstLineChars="0"/>
        <w:jc w:val="center"/>
      </w:pPr>
      <w:bookmarkStart w:id="153" w:name="_Toc134984912"/>
      <w:r>
        <w:rPr>
          <w:rFonts w:hint="eastAsia"/>
        </w:rPr>
        <w:t>八、附件</w:t>
      </w:r>
      <w:bookmarkEnd w:id="153"/>
    </w:p>
    <w:p>
      <w:pPr>
        <w:pStyle w:val="25"/>
        <w:topLinePunct/>
        <w:spacing w:after="120" w:afterLines="50"/>
        <w:ind w:firstLine="0" w:firstLineChars="0"/>
        <w:rPr>
          <w:b/>
        </w:rPr>
      </w:pPr>
      <w:r>
        <w:rPr>
          <w:rFonts w:hint="eastAsia"/>
          <w:b/>
        </w:rPr>
        <w:t>图</w:t>
      </w:r>
      <w:r>
        <w:rPr>
          <w:b/>
        </w:rPr>
        <w:t xml:space="preserve">1 </w:t>
      </w:r>
      <w:r>
        <w:rPr>
          <w:rFonts w:hint="eastAsia"/>
          <w:b/>
        </w:rPr>
        <w:t>大冶市极端降雨城市内涝高风险区域分布图</w:t>
      </w:r>
    </w:p>
    <w:p>
      <w:pPr>
        <w:pStyle w:val="25"/>
        <w:topLinePunct/>
        <w:ind w:firstLine="0" w:firstLineChars="0"/>
        <w:jc w:val="center"/>
        <w:rPr>
          <w:highlight w:val="yellow"/>
        </w:rPr>
      </w:pPr>
      <w:r>
        <w:rPr>
          <w:highlight w:val="yellow"/>
        </w:rPr>
        <w:drawing>
          <wp:inline distT="0" distB="0" distL="0" distR="0">
            <wp:extent cx="5831840" cy="5930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l="1016" r="27482"/>
                    <a:stretch>
                      <a:fillRect/>
                    </a:stretch>
                  </pic:blipFill>
                  <pic:spPr>
                    <a:xfrm>
                      <a:off x="0" y="0"/>
                      <a:ext cx="5832000" cy="5930867"/>
                    </a:xfrm>
                    <a:prstGeom prst="rect">
                      <a:avLst/>
                    </a:prstGeom>
                    <a:noFill/>
                    <a:ln>
                      <a:noFill/>
                    </a:ln>
                  </pic:spPr>
                </pic:pic>
              </a:graphicData>
            </a:graphic>
          </wp:inline>
        </w:drawing>
      </w:r>
    </w:p>
    <w:p>
      <w:pPr>
        <w:pStyle w:val="25"/>
        <w:topLinePunct/>
        <w:ind w:firstLine="0" w:firstLineChars="0"/>
        <w:jc w:val="center"/>
        <w:rPr>
          <w:highlight w:val="yellow"/>
        </w:rPr>
      </w:pPr>
    </w:p>
    <w:p>
      <w:pPr>
        <w:pStyle w:val="25"/>
        <w:topLinePunct/>
        <w:ind w:firstLine="480"/>
        <w:rPr>
          <w:highlight w:val="yellow"/>
        </w:rPr>
      </w:pPr>
    </w:p>
    <w:p>
      <w:pPr>
        <w:pStyle w:val="25"/>
        <w:topLinePunct/>
        <w:ind w:firstLine="480"/>
        <w:rPr>
          <w:highlight w:val="yellow"/>
        </w:rPr>
      </w:pPr>
    </w:p>
    <w:p>
      <w:pPr>
        <w:pStyle w:val="25"/>
        <w:topLinePunct/>
        <w:ind w:firstLine="480"/>
        <w:rPr>
          <w:highlight w:val="yellow"/>
        </w:rPr>
      </w:pPr>
    </w:p>
    <w:p>
      <w:pPr>
        <w:pStyle w:val="25"/>
        <w:topLinePunct/>
        <w:ind w:firstLine="480"/>
        <w:rPr>
          <w:highlight w:val="yellow"/>
        </w:rPr>
      </w:pPr>
    </w:p>
    <w:p>
      <w:pPr>
        <w:pStyle w:val="25"/>
        <w:topLinePunct/>
        <w:ind w:firstLine="480"/>
        <w:rPr>
          <w:highlight w:val="yellow"/>
        </w:rPr>
      </w:pPr>
    </w:p>
    <w:p>
      <w:pPr>
        <w:pStyle w:val="25"/>
        <w:topLinePunct/>
        <w:ind w:firstLine="480"/>
        <w:rPr>
          <w:highlight w:val="yellow"/>
        </w:rPr>
      </w:pPr>
    </w:p>
    <w:p>
      <w:pPr>
        <w:pStyle w:val="25"/>
        <w:topLinePunct/>
        <w:ind w:firstLine="480"/>
        <w:rPr>
          <w:highlight w:val="yellow"/>
        </w:rPr>
      </w:pPr>
    </w:p>
    <w:p>
      <w:pPr>
        <w:pStyle w:val="25"/>
        <w:topLinePunct/>
        <w:spacing w:after="120" w:afterLines="50"/>
        <w:ind w:firstLine="0" w:firstLineChars="0"/>
        <w:rPr>
          <w:b/>
          <w:highlight w:val="yellow"/>
        </w:rPr>
      </w:pPr>
      <w:bookmarkStart w:id="154" w:name="_Toc15771"/>
      <w:bookmarkStart w:id="155" w:name="_Toc16737"/>
      <w:r>
        <w:rPr>
          <w:rFonts w:hint="eastAsia"/>
          <w:b/>
        </w:rPr>
        <w:t>图</w:t>
      </w:r>
      <w:r>
        <w:rPr>
          <w:b/>
        </w:rPr>
        <w:t>2</w:t>
      </w:r>
      <w:r>
        <w:rPr>
          <w:rFonts w:hint="eastAsia"/>
          <w:b/>
        </w:rPr>
        <w:t>大冶市重要排涝设施分布图</w:t>
      </w:r>
      <w:bookmarkEnd w:id="154"/>
      <w:bookmarkEnd w:id="155"/>
    </w:p>
    <w:p>
      <w:pPr>
        <w:pStyle w:val="25"/>
        <w:topLinePunct/>
        <w:ind w:firstLine="0" w:firstLineChars="0"/>
        <w:jc w:val="center"/>
        <w:rPr>
          <w:highlight w:val="yellow"/>
        </w:rPr>
      </w:pPr>
      <w:r>
        <w:drawing>
          <wp:inline distT="0" distB="0" distL="0" distR="0">
            <wp:extent cx="6839585" cy="5831205"/>
            <wp:effectExtent l="8890" t="0" r="8255" b="8255"/>
            <wp:docPr id="4" name="图片 4" descr="F:\湖北省城市规划设计研究院\湖北省大冶市项目\A2022116 大冶市排水设施布局专项规划(2021-2035年)\A2022116 大冶市排水设施布局专项规划(2021-2035年)-图册\A2022116 大冶市排水设施布局专项规划(2021-2035年)-图册2022.6.9\04 城区现状排水设施图\04 城区现状排水设施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湖北省城市规划设计研究院\湖北省大冶市项目\A2022116 大冶市排水设施布局专项规划(2021-2035年)\A2022116 大冶市排水设施布局专项规划(2021-2035年)-图册\A2022116 大冶市排水设施布局专项规划(2021-2035年)-图册2022.6.9\04 城区现状排水设施图\04 城区现状排水设施图.jpg"/>
                    <pic:cNvPicPr>
                      <a:picLocks noChangeAspect="1" noChangeArrowheads="1"/>
                    </pic:cNvPicPr>
                  </pic:nvPicPr>
                  <pic:blipFill>
                    <a:blip r:embed="rId15" cstate="print">
                      <a:extLst>
                        <a:ext uri="{28A0092B-C50C-407E-A947-70E740481C1C}">
                          <a14:useLocalDpi xmlns:a14="http://schemas.microsoft.com/office/drawing/2010/main" val="0"/>
                        </a:ext>
                      </a:extLst>
                    </a:blip>
                    <a:srcRect l="12621" t="5697" r="16550" b="8808"/>
                    <a:stretch>
                      <a:fillRect/>
                    </a:stretch>
                  </pic:blipFill>
                  <pic:spPr>
                    <a:xfrm rot="16200000">
                      <a:off x="0" y="0"/>
                      <a:ext cx="6840000" cy="5831441"/>
                    </a:xfrm>
                    <a:prstGeom prst="rect">
                      <a:avLst/>
                    </a:prstGeom>
                    <a:noFill/>
                    <a:ln>
                      <a:noFill/>
                    </a:ln>
                  </pic:spPr>
                </pic:pic>
              </a:graphicData>
            </a:graphic>
          </wp:inline>
        </w:drawing>
      </w:r>
    </w:p>
    <w:p>
      <w:pPr>
        <w:pStyle w:val="25"/>
        <w:topLinePunct/>
        <w:spacing w:after="120" w:afterLines="50"/>
        <w:ind w:firstLine="0" w:firstLineChars="0"/>
        <w:rPr>
          <w:b/>
        </w:rPr>
      </w:pPr>
      <w:bookmarkStart w:id="156" w:name="_Toc19072"/>
      <w:bookmarkStart w:id="157" w:name="_Toc28893"/>
    </w:p>
    <w:p>
      <w:pPr>
        <w:pStyle w:val="25"/>
        <w:topLinePunct/>
        <w:spacing w:after="120" w:afterLines="50"/>
        <w:ind w:firstLine="0" w:firstLineChars="0"/>
        <w:rPr>
          <w:b/>
        </w:rPr>
      </w:pPr>
    </w:p>
    <w:p>
      <w:pPr>
        <w:pStyle w:val="25"/>
        <w:topLinePunct/>
        <w:spacing w:after="120" w:afterLines="50"/>
        <w:ind w:firstLine="0" w:firstLineChars="0"/>
        <w:rPr>
          <w:b/>
        </w:rPr>
      </w:pPr>
    </w:p>
    <w:p>
      <w:pPr>
        <w:pStyle w:val="25"/>
        <w:topLinePunct/>
        <w:spacing w:after="120" w:afterLines="50"/>
        <w:ind w:firstLine="0" w:firstLineChars="0"/>
        <w:rPr>
          <w:b/>
        </w:rPr>
      </w:pPr>
    </w:p>
    <w:p>
      <w:pPr>
        <w:pStyle w:val="25"/>
        <w:topLinePunct/>
        <w:spacing w:after="120" w:afterLines="50"/>
        <w:ind w:firstLine="0" w:firstLineChars="0"/>
        <w:rPr>
          <w:b/>
        </w:rPr>
      </w:pPr>
    </w:p>
    <w:p>
      <w:pPr>
        <w:pStyle w:val="25"/>
        <w:topLinePunct/>
        <w:spacing w:after="120" w:afterLines="50"/>
        <w:ind w:firstLine="0" w:firstLineChars="0"/>
        <w:rPr>
          <w:b/>
        </w:rPr>
      </w:pPr>
      <w:r>
        <w:rPr>
          <w:rFonts w:hint="eastAsia"/>
          <w:b/>
        </w:rPr>
        <w:t>图</w:t>
      </w:r>
      <w:r>
        <w:rPr>
          <w:b/>
        </w:rPr>
        <w:t>3</w:t>
      </w:r>
      <w:r>
        <w:rPr>
          <w:rFonts w:hint="eastAsia"/>
          <w:b/>
        </w:rPr>
        <w:t>大冶市初中分布图</w:t>
      </w:r>
    </w:p>
    <w:p>
      <w:pPr>
        <w:pStyle w:val="25"/>
        <w:topLinePunct/>
        <w:spacing w:after="120" w:afterLines="50"/>
        <w:ind w:firstLine="0" w:firstLineChars="0"/>
        <w:jc w:val="center"/>
        <w:rPr>
          <w:b/>
        </w:rPr>
      </w:pPr>
      <w:r>
        <w:rPr>
          <w:b/>
        </w:rPr>
        <w:drawing>
          <wp:inline distT="0" distB="0" distL="0" distR="0">
            <wp:extent cx="8488045" cy="5363845"/>
            <wp:effectExtent l="0" t="0" r="8255" b="8255"/>
            <wp:docPr id="6" name="图片 6" descr="C:\Users\admin\Desktop\大冶应急预案\新建文件夹 (2)\12初中现状分布图（中心城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大冶应急预案\新建文件夹 (2)\12初中现状分布图（中心城区）.jpg"/>
                    <pic:cNvPicPr>
                      <a:picLocks noChangeAspect="1" noChangeArrowheads="1"/>
                    </pic:cNvPicPr>
                  </pic:nvPicPr>
                  <pic:blipFill>
                    <a:blip r:embed="rId16" cstate="print">
                      <a:extLst>
                        <a:ext uri="{28A0092B-C50C-407E-A947-70E740481C1C}">
                          <a14:useLocalDpi xmlns:a14="http://schemas.microsoft.com/office/drawing/2010/main" val="0"/>
                        </a:ext>
                      </a:extLst>
                    </a:blip>
                    <a:srcRect t="7030" b="3661"/>
                    <a:stretch>
                      <a:fillRect/>
                    </a:stretch>
                  </pic:blipFill>
                  <pic:spPr>
                    <a:xfrm rot="16200000">
                      <a:off x="0" y="0"/>
                      <a:ext cx="8488509" cy="5364000"/>
                    </a:xfrm>
                    <a:prstGeom prst="rect">
                      <a:avLst/>
                    </a:prstGeom>
                    <a:noFill/>
                    <a:ln>
                      <a:noFill/>
                    </a:ln>
                  </pic:spPr>
                </pic:pic>
              </a:graphicData>
            </a:graphic>
          </wp:inline>
        </w:drawing>
      </w:r>
    </w:p>
    <w:bookmarkEnd w:id="156"/>
    <w:bookmarkEnd w:id="157"/>
    <w:p>
      <w:pPr>
        <w:pStyle w:val="25"/>
        <w:topLinePunct/>
        <w:spacing w:after="120" w:afterLines="50"/>
        <w:ind w:firstLine="0" w:firstLineChars="0"/>
        <w:rPr>
          <w:b/>
        </w:rPr>
      </w:pPr>
      <w:bookmarkStart w:id="158" w:name="_Toc25335"/>
      <w:bookmarkStart w:id="159" w:name="_Toc29573"/>
      <w:r>
        <w:rPr>
          <w:rFonts w:hint="eastAsia"/>
          <w:b/>
        </w:rPr>
        <w:t>图</w:t>
      </w:r>
      <w:r>
        <w:rPr>
          <w:b/>
        </w:rPr>
        <w:t xml:space="preserve">4 </w:t>
      </w:r>
      <w:r>
        <w:rPr>
          <w:rFonts w:hint="eastAsia"/>
          <w:b/>
        </w:rPr>
        <w:t>大冶市小学分布图</w:t>
      </w:r>
      <w:bookmarkEnd w:id="158"/>
      <w:bookmarkEnd w:id="159"/>
    </w:p>
    <w:p>
      <w:pPr>
        <w:pStyle w:val="25"/>
        <w:topLinePunct/>
        <w:ind w:firstLine="0" w:firstLineChars="0"/>
        <w:jc w:val="center"/>
      </w:pPr>
      <w:r>
        <w:drawing>
          <wp:inline distT="0" distB="0" distL="0" distR="0">
            <wp:extent cx="8388985" cy="5363845"/>
            <wp:effectExtent l="7620" t="0" r="635" b="635"/>
            <wp:docPr id="7" name="图片 7" descr="C:\Users\admin\Desktop\大冶应急预案\新建文件夹 (2)\11小学现状分布图（中心城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大冶应急预案\新建文件夹 (2)\11小学现状分布图（中心城区）.jpg"/>
                    <pic:cNvPicPr>
                      <a:picLocks noChangeAspect="1" noChangeArrowheads="1"/>
                    </pic:cNvPicPr>
                  </pic:nvPicPr>
                  <pic:blipFill>
                    <a:blip r:embed="rId17" cstate="print">
                      <a:extLst>
                        <a:ext uri="{28A0092B-C50C-407E-A947-70E740481C1C}">
                          <a14:useLocalDpi xmlns:a14="http://schemas.microsoft.com/office/drawing/2010/main" val="0"/>
                        </a:ext>
                      </a:extLst>
                    </a:blip>
                    <a:srcRect l="741" t="7178" r="926" b="3976"/>
                    <a:stretch>
                      <a:fillRect/>
                    </a:stretch>
                  </pic:blipFill>
                  <pic:spPr>
                    <a:xfrm rot="16200000">
                      <a:off x="0" y="0"/>
                      <a:ext cx="8389152" cy="5364000"/>
                    </a:xfrm>
                    <a:prstGeom prst="rect">
                      <a:avLst/>
                    </a:prstGeom>
                    <a:noFill/>
                    <a:ln>
                      <a:noFill/>
                    </a:ln>
                  </pic:spPr>
                </pic:pic>
              </a:graphicData>
            </a:graphic>
          </wp:inline>
        </w:drawing>
      </w:r>
    </w:p>
    <w:sectPr>
      <w:pgSz w:w="11906" w:h="16838"/>
      <w:pgMar w:top="1418" w:right="1418" w:bottom="1418" w:left="1701"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ont-weight : 400">
    <w:altName w:val="Segoe Print"/>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firstLine="0" w:firstLineChars="0"/>
      <w:jc w:val="center"/>
    </w:pPr>
    <w:r>
      <w:fldChar w:fldCharType="begin"/>
    </w:r>
    <w:r>
      <w:instrText xml:space="preserve">PAGE   \* MERGEFORMAT</w:instrText>
    </w:r>
    <w:r>
      <w:fldChar w:fldCharType="separate"/>
    </w:r>
    <w:r>
      <w:rPr>
        <w:lang w:val="zh-CN"/>
      </w:rPr>
      <w:t>38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8263D1"/>
    <w:multiLevelType w:val="multilevel"/>
    <w:tmpl w:val="788263D1"/>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1YjlhOWQ3ZjgxYzNjYWE0MThlYjJjNjUyOTM3NjUifQ=="/>
  </w:docVars>
  <w:rsids>
    <w:rsidRoot w:val="006150FD"/>
    <w:rsid w:val="00001F1C"/>
    <w:rsid w:val="00003752"/>
    <w:rsid w:val="00003C65"/>
    <w:rsid w:val="000063CB"/>
    <w:rsid w:val="0002152D"/>
    <w:rsid w:val="00023114"/>
    <w:rsid w:val="00024307"/>
    <w:rsid w:val="00025C95"/>
    <w:rsid w:val="00027814"/>
    <w:rsid w:val="00027D76"/>
    <w:rsid w:val="00030ABB"/>
    <w:rsid w:val="00030B96"/>
    <w:rsid w:val="00031A56"/>
    <w:rsid w:val="00032643"/>
    <w:rsid w:val="00032D00"/>
    <w:rsid w:val="00033288"/>
    <w:rsid w:val="00034FD2"/>
    <w:rsid w:val="00035744"/>
    <w:rsid w:val="00037FCA"/>
    <w:rsid w:val="0004210D"/>
    <w:rsid w:val="00042DCF"/>
    <w:rsid w:val="00045B3D"/>
    <w:rsid w:val="00046130"/>
    <w:rsid w:val="000475C5"/>
    <w:rsid w:val="00047FC5"/>
    <w:rsid w:val="000525B1"/>
    <w:rsid w:val="00052B20"/>
    <w:rsid w:val="00053D44"/>
    <w:rsid w:val="000554F2"/>
    <w:rsid w:val="000566BA"/>
    <w:rsid w:val="00056ADC"/>
    <w:rsid w:val="00061DF5"/>
    <w:rsid w:val="00061F48"/>
    <w:rsid w:val="00062306"/>
    <w:rsid w:val="00064258"/>
    <w:rsid w:val="00067243"/>
    <w:rsid w:val="000677FB"/>
    <w:rsid w:val="00067F25"/>
    <w:rsid w:val="00070D13"/>
    <w:rsid w:val="000761AB"/>
    <w:rsid w:val="000763CB"/>
    <w:rsid w:val="00080EE3"/>
    <w:rsid w:val="00081358"/>
    <w:rsid w:val="000821D6"/>
    <w:rsid w:val="0008261A"/>
    <w:rsid w:val="00084835"/>
    <w:rsid w:val="00093E36"/>
    <w:rsid w:val="000967F2"/>
    <w:rsid w:val="000977DE"/>
    <w:rsid w:val="00097D7B"/>
    <w:rsid w:val="00097E7C"/>
    <w:rsid w:val="000A120D"/>
    <w:rsid w:val="000A1211"/>
    <w:rsid w:val="000A3282"/>
    <w:rsid w:val="000A40CA"/>
    <w:rsid w:val="000A4BAD"/>
    <w:rsid w:val="000A5F75"/>
    <w:rsid w:val="000A721D"/>
    <w:rsid w:val="000A7906"/>
    <w:rsid w:val="000B0D2C"/>
    <w:rsid w:val="000B3DAF"/>
    <w:rsid w:val="000B6F98"/>
    <w:rsid w:val="000C461C"/>
    <w:rsid w:val="000C4CEE"/>
    <w:rsid w:val="000D0128"/>
    <w:rsid w:val="000D6D5F"/>
    <w:rsid w:val="000E1B50"/>
    <w:rsid w:val="000E58AB"/>
    <w:rsid w:val="000F4407"/>
    <w:rsid w:val="000F774E"/>
    <w:rsid w:val="001025A8"/>
    <w:rsid w:val="001034E8"/>
    <w:rsid w:val="001041B7"/>
    <w:rsid w:val="00106602"/>
    <w:rsid w:val="00107340"/>
    <w:rsid w:val="001075A7"/>
    <w:rsid w:val="0010797D"/>
    <w:rsid w:val="001122B5"/>
    <w:rsid w:val="001136DA"/>
    <w:rsid w:val="00113EC6"/>
    <w:rsid w:val="00114505"/>
    <w:rsid w:val="001155A1"/>
    <w:rsid w:val="00116752"/>
    <w:rsid w:val="00117052"/>
    <w:rsid w:val="0012133C"/>
    <w:rsid w:val="00121D0E"/>
    <w:rsid w:val="00123789"/>
    <w:rsid w:val="00130F91"/>
    <w:rsid w:val="00134A3D"/>
    <w:rsid w:val="00137969"/>
    <w:rsid w:val="00142DB9"/>
    <w:rsid w:val="001452FF"/>
    <w:rsid w:val="001455E6"/>
    <w:rsid w:val="00147443"/>
    <w:rsid w:val="0015110B"/>
    <w:rsid w:val="00151B81"/>
    <w:rsid w:val="00152403"/>
    <w:rsid w:val="00154167"/>
    <w:rsid w:val="00155B54"/>
    <w:rsid w:val="00157194"/>
    <w:rsid w:val="0015755E"/>
    <w:rsid w:val="001658CF"/>
    <w:rsid w:val="001660D8"/>
    <w:rsid w:val="001660F1"/>
    <w:rsid w:val="001669DC"/>
    <w:rsid w:val="00170BCD"/>
    <w:rsid w:val="0017101E"/>
    <w:rsid w:val="001712F6"/>
    <w:rsid w:val="0017425A"/>
    <w:rsid w:val="001819DA"/>
    <w:rsid w:val="00181D5D"/>
    <w:rsid w:val="001834E1"/>
    <w:rsid w:val="00186D56"/>
    <w:rsid w:val="00195489"/>
    <w:rsid w:val="00195AD0"/>
    <w:rsid w:val="00196988"/>
    <w:rsid w:val="0019733B"/>
    <w:rsid w:val="001978E8"/>
    <w:rsid w:val="00197D56"/>
    <w:rsid w:val="001A0B68"/>
    <w:rsid w:val="001A1A77"/>
    <w:rsid w:val="001A3F1E"/>
    <w:rsid w:val="001A6ABF"/>
    <w:rsid w:val="001A7C05"/>
    <w:rsid w:val="001B15A0"/>
    <w:rsid w:val="001B1EED"/>
    <w:rsid w:val="001B474D"/>
    <w:rsid w:val="001B4D0C"/>
    <w:rsid w:val="001C0342"/>
    <w:rsid w:val="001C467E"/>
    <w:rsid w:val="001C69A9"/>
    <w:rsid w:val="001C7DDF"/>
    <w:rsid w:val="001D0070"/>
    <w:rsid w:val="001D0289"/>
    <w:rsid w:val="001D4DA2"/>
    <w:rsid w:val="001D7831"/>
    <w:rsid w:val="001E16C9"/>
    <w:rsid w:val="001E3755"/>
    <w:rsid w:val="001F366D"/>
    <w:rsid w:val="001F44CE"/>
    <w:rsid w:val="001F5758"/>
    <w:rsid w:val="001F600E"/>
    <w:rsid w:val="00201FA0"/>
    <w:rsid w:val="00202A15"/>
    <w:rsid w:val="00211F5E"/>
    <w:rsid w:val="0021254D"/>
    <w:rsid w:val="00212D92"/>
    <w:rsid w:val="00213EBF"/>
    <w:rsid w:val="00220C37"/>
    <w:rsid w:val="0022245C"/>
    <w:rsid w:val="002246E4"/>
    <w:rsid w:val="00225684"/>
    <w:rsid w:val="0023103C"/>
    <w:rsid w:val="00231149"/>
    <w:rsid w:val="00231414"/>
    <w:rsid w:val="002317E2"/>
    <w:rsid w:val="002362A9"/>
    <w:rsid w:val="00237A83"/>
    <w:rsid w:val="00241A37"/>
    <w:rsid w:val="002450D5"/>
    <w:rsid w:val="00246280"/>
    <w:rsid w:val="00246875"/>
    <w:rsid w:val="0025273C"/>
    <w:rsid w:val="00253507"/>
    <w:rsid w:val="0025528B"/>
    <w:rsid w:val="00255531"/>
    <w:rsid w:val="00255936"/>
    <w:rsid w:val="00255E6E"/>
    <w:rsid w:val="0026036C"/>
    <w:rsid w:val="002623BF"/>
    <w:rsid w:val="00264AF8"/>
    <w:rsid w:val="0027071B"/>
    <w:rsid w:val="002759CD"/>
    <w:rsid w:val="00275C8D"/>
    <w:rsid w:val="002764C1"/>
    <w:rsid w:val="002779E9"/>
    <w:rsid w:val="002808B6"/>
    <w:rsid w:val="002827D2"/>
    <w:rsid w:val="002839FF"/>
    <w:rsid w:val="002849F8"/>
    <w:rsid w:val="00284E2A"/>
    <w:rsid w:val="002872FF"/>
    <w:rsid w:val="00291C57"/>
    <w:rsid w:val="00293211"/>
    <w:rsid w:val="0029349D"/>
    <w:rsid w:val="00294ADA"/>
    <w:rsid w:val="002963C6"/>
    <w:rsid w:val="002964BD"/>
    <w:rsid w:val="002967D5"/>
    <w:rsid w:val="002A112A"/>
    <w:rsid w:val="002A2B22"/>
    <w:rsid w:val="002A33C5"/>
    <w:rsid w:val="002A493C"/>
    <w:rsid w:val="002A4A2A"/>
    <w:rsid w:val="002A59CE"/>
    <w:rsid w:val="002A5FD5"/>
    <w:rsid w:val="002A7B17"/>
    <w:rsid w:val="002B2F8F"/>
    <w:rsid w:val="002B40D2"/>
    <w:rsid w:val="002B6D47"/>
    <w:rsid w:val="002B6E12"/>
    <w:rsid w:val="002B72A9"/>
    <w:rsid w:val="002B7AB8"/>
    <w:rsid w:val="002C0C87"/>
    <w:rsid w:val="002C1011"/>
    <w:rsid w:val="002C2A67"/>
    <w:rsid w:val="002C475F"/>
    <w:rsid w:val="002C58F5"/>
    <w:rsid w:val="002C73F3"/>
    <w:rsid w:val="002D09CD"/>
    <w:rsid w:val="002D47E0"/>
    <w:rsid w:val="002E1BAB"/>
    <w:rsid w:val="002E22DA"/>
    <w:rsid w:val="002E5426"/>
    <w:rsid w:val="002E6421"/>
    <w:rsid w:val="002E6BC1"/>
    <w:rsid w:val="002E7196"/>
    <w:rsid w:val="002F1390"/>
    <w:rsid w:val="002F2E24"/>
    <w:rsid w:val="002F4714"/>
    <w:rsid w:val="002F63C5"/>
    <w:rsid w:val="00302299"/>
    <w:rsid w:val="0030358B"/>
    <w:rsid w:val="003048BC"/>
    <w:rsid w:val="003075AA"/>
    <w:rsid w:val="003103D9"/>
    <w:rsid w:val="0031118C"/>
    <w:rsid w:val="003131E0"/>
    <w:rsid w:val="00313C73"/>
    <w:rsid w:val="00317C31"/>
    <w:rsid w:val="00320817"/>
    <w:rsid w:val="0032144E"/>
    <w:rsid w:val="00326F46"/>
    <w:rsid w:val="00330691"/>
    <w:rsid w:val="003313A9"/>
    <w:rsid w:val="00334D4F"/>
    <w:rsid w:val="00335FC1"/>
    <w:rsid w:val="0033721E"/>
    <w:rsid w:val="003436AC"/>
    <w:rsid w:val="00344343"/>
    <w:rsid w:val="00345413"/>
    <w:rsid w:val="0034628F"/>
    <w:rsid w:val="003467BD"/>
    <w:rsid w:val="00354CB5"/>
    <w:rsid w:val="00356A4E"/>
    <w:rsid w:val="00357D47"/>
    <w:rsid w:val="0036221A"/>
    <w:rsid w:val="00363BFC"/>
    <w:rsid w:val="00364292"/>
    <w:rsid w:val="00364A2A"/>
    <w:rsid w:val="003670ED"/>
    <w:rsid w:val="00371DFE"/>
    <w:rsid w:val="00372EA4"/>
    <w:rsid w:val="003730D6"/>
    <w:rsid w:val="00373146"/>
    <w:rsid w:val="003749DA"/>
    <w:rsid w:val="00374F2A"/>
    <w:rsid w:val="003774FC"/>
    <w:rsid w:val="00380A87"/>
    <w:rsid w:val="00384239"/>
    <w:rsid w:val="00384C47"/>
    <w:rsid w:val="003863CC"/>
    <w:rsid w:val="003867E3"/>
    <w:rsid w:val="00391B46"/>
    <w:rsid w:val="00391DF9"/>
    <w:rsid w:val="00392A62"/>
    <w:rsid w:val="00393F9C"/>
    <w:rsid w:val="0039468F"/>
    <w:rsid w:val="00394965"/>
    <w:rsid w:val="003960E2"/>
    <w:rsid w:val="003A56E5"/>
    <w:rsid w:val="003A57E1"/>
    <w:rsid w:val="003A657D"/>
    <w:rsid w:val="003A7CA8"/>
    <w:rsid w:val="003B4B8B"/>
    <w:rsid w:val="003C24C7"/>
    <w:rsid w:val="003C5F70"/>
    <w:rsid w:val="003C614F"/>
    <w:rsid w:val="003D066E"/>
    <w:rsid w:val="003D0793"/>
    <w:rsid w:val="003D3CAC"/>
    <w:rsid w:val="003D4675"/>
    <w:rsid w:val="003D4BED"/>
    <w:rsid w:val="003D647A"/>
    <w:rsid w:val="003E29A3"/>
    <w:rsid w:val="003E5DEA"/>
    <w:rsid w:val="003E7B7F"/>
    <w:rsid w:val="003F0B8B"/>
    <w:rsid w:val="003F3561"/>
    <w:rsid w:val="003F3D2B"/>
    <w:rsid w:val="003F78F2"/>
    <w:rsid w:val="00400389"/>
    <w:rsid w:val="00400856"/>
    <w:rsid w:val="00402795"/>
    <w:rsid w:val="004071EB"/>
    <w:rsid w:val="004119F9"/>
    <w:rsid w:val="00412240"/>
    <w:rsid w:val="00413061"/>
    <w:rsid w:val="0041471D"/>
    <w:rsid w:val="00414EA1"/>
    <w:rsid w:val="0041713C"/>
    <w:rsid w:val="0041754B"/>
    <w:rsid w:val="00420168"/>
    <w:rsid w:val="00420C18"/>
    <w:rsid w:val="00421382"/>
    <w:rsid w:val="0042640F"/>
    <w:rsid w:val="00430031"/>
    <w:rsid w:val="004309CA"/>
    <w:rsid w:val="00431025"/>
    <w:rsid w:val="00431FDE"/>
    <w:rsid w:val="00432078"/>
    <w:rsid w:val="00433A36"/>
    <w:rsid w:val="00434364"/>
    <w:rsid w:val="00434D65"/>
    <w:rsid w:val="00437907"/>
    <w:rsid w:val="00440352"/>
    <w:rsid w:val="00440798"/>
    <w:rsid w:val="00450530"/>
    <w:rsid w:val="00450BB6"/>
    <w:rsid w:val="00451C2B"/>
    <w:rsid w:val="00452B0D"/>
    <w:rsid w:val="00452ED4"/>
    <w:rsid w:val="00453367"/>
    <w:rsid w:val="004535A7"/>
    <w:rsid w:val="00453881"/>
    <w:rsid w:val="00457B55"/>
    <w:rsid w:val="004604BD"/>
    <w:rsid w:val="004635A7"/>
    <w:rsid w:val="004675CF"/>
    <w:rsid w:val="00467F25"/>
    <w:rsid w:val="00471765"/>
    <w:rsid w:val="00475709"/>
    <w:rsid w:val="004869EE"/>
    <w:rsid w:val="00490AE0"/>
    <w:rsid w:val="00491331"/>
    <w:rsid w:val="004925A8"/>
    <w:rsid w:val="004940CD"/>
    <w:rsid w:val="00495399"/>
    <w:rsid w:val="00495465"/>
    <w:rsid w:val="00497B33"/>
    <w:rsid w:val="004A11E0"/>
    <w:rsid w:val="004A20EE"/>
    <w:rsid w:val="004A2664"/>
    <w:rsid w:val="004A2B2B"/>
    <w:rsid w:val="004A2CAD"/>
    <w:rsid w:val="004A7620"/>
    <w:rsid w:val="004B3CD1"/>
    <w:rsid w:val="004B4FC3"/>
    <w:rsid w:val="004B6224"/>
    <w:rsid w:val="004C1336"/>
    <w:rsid w:val="004C56CA"/>
    <w:rsid w:val="004C71D1"/>
    <w:rsid w:val="004D16C5"/>
    <w:rsid w:val="004D3B89"/>
    <w:rsid w:val="004D4B7B"/>
    <w:rsid w:val="004D537F"/>
    <w:rsid w:val="004D6FF4"/>
    <w:rsid w:val="004E06D2"/>
    <w:rsid w:val="004F1FBC"/>
    <w:rsid w:val="004F3170"/>
    <w:rsid w:val="005011FC"/>
    <w:rsid w:val="00504528"/>
    <w:rsid w:val="00507C7D"/>
    <w:rsid w:val="00507F7C"/>
    <w:rsid w:val="00510A0D"/>
    <w:rsid w:val="005127C5"/>
    <w:rsid w:val="0051326F"/>
    <w:rsid w:val="00514559"/>
    <w:rsid w:val="0051498E"/>
    <w:rsid w:val="005168E8"/>
    <w:rsid w:val="00522192"/>
    <w:rsid w:val="00522DDB"/>
    <w:rsid w:val="0053026C"/>
    <w:rsid w:val="005308DC"/>
    <w:rsid w:val="00530D33"/>
    <w:rsid w:val="00533D3C"/>
    <w:rsid w:val="00534C54"/>
    <w:rsid w:val="00535279"/>
    <w:rsid w:val="00535D75"/>
    <w:rsid w:val="00537B39"/>
    <w:rsid w:val="0054034B"/>
    <w:rsid w:val="00541027"/>
    <w:rsid w:val="00541EC6"/>
    <w:rsid w:val="005427CA"/>
    <w:rsid w:val="005429EC"/>
    <w:rsid w:val="00543F9F"/>
    <w:rsid w:val="00545830"/>
    <w:rsid w:val="00546473"/>
    <w:rsid w:val="00546DD5"/>
    <w:rsid w:val="00546E1F"/>
    <w:rsid w:val="00551269"/>
    <w:rsid w:val="005533B6"/>
    <w:rsid w:val="0055537C"/>
    <w:rsid w:val="00560A58"/>
    <w:rsid w:val="00562E28"/>
    <w:rsid w:val="00566D4E"/>
    <w:rsid w:val="00567034"/>
    <w:rsid w:val="0056741B"/>
    <w:rsid w:val="005701AA"/>
    <w:rsid w:val="00570705"/>
    <w:rsid w:val="00570915"/>
    <w:rsid w:val="00570AF3"/>
    <w:rsid w:val="00571D0C"/>
    <w:rsid w:val="005731ED"/>
    <w:rsid w:val="005746B1"/>
    <w:rsid w:val="00575764"/>
    <w:rsid w:val="00575C70"/>
    <w:rsid w:val="005762AA"/>
    <w:rsid w:val="00576BCE"/>
    <w:rsid w:val="00581798"/>
    <w:rsid w:val="00582E59"/>
    <w:rsid w:val="00584A83"/>
    <w:rsid w:val="00584EB1"/>
    <w:rsid w:val="0058544F"/>
    <w:rsid w:val="0058640B"/>
    <w:rsid w:val="00586A06"/>
    <w:rsid w:val="00590360"/>
    <w:rsid w:val="00593295"/>
    <w:rsid w:val="00594CB8"/>
    <w:rsid w:val="00596FBC"/>
    <w:rsid w:val="005A0307"/>
    <w:rsid w:val="005A25B7"/>
    <w:rsid w:val="005A2CA3"/>
    <w:rsid w:val="005A451E"/>
    <w:rsid w:val="005A787F"/>
    <w:rsid w:val="005B0EA1"/>
    <w:rsid w:val="005B20D5"/>
    <w:rsid w:val="005B5EB0"/>
    <w:rsid w:val="005C3076"/>
    <w:rsid w:val="005C37DD"/>
    <w:rsid w:val="005C4A8F"/>
    <w:rsid w:val="005C5D08"/>
    <w:rsid w:val="005C66D5"/>
    <w:rsid w:val="005C78F0"/>
    <w:rsid w:val="005C7AAE"/>
    <w:rsid w:val="005D1ADA"/>
    <w:rsid w:val="005D36D8"/>
    <w:rsid w:val="005D3C04"/>
    <w:rsid w:val="005D4EBA"/>
    <w:rsid w:val="005D519D"/>
    <w:rsid w:val="005D6241"/>
    <w:rsid w:val="005D626B"/>
    <w:rsid w:val="005D6C2E"/>
    <w:rsid w:val="005F0B41"/>
    <w:rsid w:val="005F23BF"/>
    <w:rsid w:val="005F25E6"/>
    <w:rsid w:val="005F40CC"/>
    <w:rsid w:val="005F4EE4"/>
    <w:rsid w:val="00603CF9"/>
    <w:rsid w:val="00604ED3"/>
    <w:rsid w:val="00606DB6"/>
    <w:rsid w:val="0060700D"/>
    <w:rsid w:val="00610F4C"/>
    <w:rsid w:val="006111CD"/>
    <w:rsid w:val="006150FD"/>
    <w:rsid w:val="00616597"/>
    <w:rsid w:val="006170D2"/>
    <w:rsid w:val="00621DC7"/>
    <w:rsid w:val="00622A17"/>
    <w:rsid w:val="00625914"/>
    <w:rsid w:val="00625ECA"/>
    <w:rsid w:val="006267BF"/>
    <w:rsid w:val="006277B1"/>
    <w:rsid w:val="006320F0"/>
    <w:rsid w:val="00633709"/>
    <w:rsid w:val="00633E1C"/>
    <w:rsid w:val="0063463F"/>
    <w:rsid w:val="00636AF1"/>
    <w:rsid w:val="00637FC7"/>
    <w:rsid w:val="006409B6"/>
    <w:rsid w:val="00640A0C"/>
    <w:rsid w:val="00643209"/>
    <w:rsid w:val="00646C4C"/>
    <w:rsid w:val="0064741B"/>
    <w:rsid w:val="00647D7C"/>
    <w:rsid w:val="00651F29"/>
    <w:rsid w:val="0065257F"/>
    <w:rsid w:val="006539A3"/>
    <w:rsid w:val="00660703"/>
    <w:rsid w:val="00663585"/>
    <w:rsid w:val="00663DEC"/>
    <w:rsid w:val="00663FC3"/>
    <w:rsid w:val="0066413C"/>
    <w:rsid w:val="00664CE0"/>
    <w:rsid w:val="0067151C"/>
    <w:rsid w:val="006734DC"/>
    <w:rsid w:val="006748B1"/>
    <w:rsid w:val="00674A79"/>
    <w:rsid w:val="0067500D"/>
    <w:rsid w:val="00675180"/>
    <w:rsid w:val="00680E43"/>
    <w:rsid w:val="00682BE9"/>
    <w:rsid w:val="00683BE2"/>
    <w:rsid w:val="00685A05"/>
    <w:rsid w:val="00690F3B"/>
    <w:rsid w:val="006914C4"/>
    <w:rsid w:val="006920B7"/>
    <w:rsid w:val="00693175"/>
    <w:rsid w:val="006A21F2"/>
    <w:rsid w:val="006A25A4"/>
    <w:rsid w:val="006A2E08"/>
    <w:rsid w:val="006A37FA"/>
    <w:rsid w:val="006A6B3F"/>
    <w:rsid w:val="006A6C4F"/>
    <w:rsid w:val="006B50E2"/>
    <w:rsid w:val="006B6277"/>
    <w:rsid w:val="006B6334"/>
    <w:rsid w:val="006B79E9"/>
    <w:rsid w:val="006C1F8F"/>
    <w:rsid w:val="006C2079"/>
    <w:rsid w:val="006C250B"/>
    <w:rsid w:val="006C4C58"/>
    <w:rsid w:val="006D0A4F"/>
    <w:rsid w:val="006D1E33"/>
    <w:rsid w:val="006D2169"/>
    <w:rsid w:val="006D36B7"/>
    <w:rsid w:val="006D741C"/>
    <w:rsid w:val="006D7BDA"/>
    <w:rsid w:val="006E251A"/>
    <w:rsid w:val="006E35D8"/>
    <w:rsid w:val="006E3DD8"/>
    <w:rsid w:val="006E6B47"/>
    <w:rsid w:val="006E7DBE"/>
    <w:rsid w:val="006F0A9B"/>
    <w:rsid w:val="006F70DF"/>
    <w:rsid w:val="00700ED2"/>
    <w:rsid w:val="007026F9"/>
    <w:rsid w:val="0070466C"/>
    <w:rsid w:val="00705065"/>
    <w:rsid w:val="00712D86"/>
    <w:rsid w:val="0071498E"/>
    <w:rsid w:val="007169EE"/>
    <w:rsid w:val="00724E7F"/>
    <w:rsid w:val="00726671"/>
    <w:rsid w:val="00730047"/>
    <w:rsid w:val="0073250E"/>
    <w:rsid w:val="007367CE"/>
    <w:rsid w:val="007408E4"/>
    <w:rsid w:val="0074121B"/>
    <w:rsid w:val="00742F00"/>
    <w:rsid w:val="0074734A"/>
    <w:rsid w:val="007506B2"/>
    <w:rsid w:val="0075388E"/>
    <w:rsid w:val="00760AD9"/>
    <w:rsid w:val="00764B4B"/>
    <w:rsid w:val="00772636"/>
    <w:rsid w:val="007748A2"/>
    <w:rsid w:val="007807F4"/>
    <w:rsid w:val="00780B22"/>
    <w:rsid w:val="00782915"/>
    <w:rsid w:val="00782F5E"/>
    <w:rsid w:val="00782FE1"/>
    <w:rsid w:val="00783CA6"/>
    <w:rsid w:val="00797712"/>
    <w:rsid w:val="007A0B88"/>
    <w:rsid w:val="007A0E9E"/>
    <w:rsid w:val="007A1050"/>
    <w:rsid w:val="007A2B3D"/>
    <w:rsid w:val="007A400E"/>
    <w:rsid w:val="007A5406"/>
    <w:rsid w:val="007A6910"/>
    <w:rsid w:val="007A6C99"/>
    <w:rsid w:val="007A7022"/>
    <w:rsid w:val="007B0DDA"/>
    <w:rsid w:val="007B301C"/>
    <w:rsid w:val="007B3629"/>
    <w:rsid w:val="007B623E"/>
    <w:rsid w:val="007B6963"/>
    <w:rsid w:val="007C4265"/>
    <w:rsid w:val="007C5E35"/>
    <w:rsid w:val="007C70D1"/>
    <w:rsid w:val="007D0374"/>
    <w:rsid w:val="007D2AB9"/>
    <w:rsid w:val="007D36B1"/>
    <w:rsid w:val="007D3714"/>
    <w:rsid w:val="007D42D9"/>
    <w:rsid w:val="007E4311"/>
    <w:rsid w:val="007F3143"/>
    <w:rsid w:val="007F3954"/>
    <w:rsid w:val="007F3F8B"/>
    <w:rsid w:val="008029C3"/>
    <w:rsid w:val="00805725"/>
    <w:rsid w:val="00811B56"/>
    <w:rsid w:val="008132BD"/>
    <w:rsid w:val="00813C7A"/>
    <w:rsid w:val="00814858"/>
    <w:rsid w:val="00815AA1"/>
    <w:rsid w:val="008172D7"/>
    <w:rsid w:val="00820292"/>
    <w:rsid w:val="00820E0A"/>
    <w:rsid w:val="00821442"/>
    <w:rsid w:val="008224BE"/>
    <w:rsid w:val="00822A5A"/>
    <w:rsid w:val="00822D25"/>
    <w:rsid w:val="008247B9"/>
    <w:rsid w:val="00827BF7"/>
    <w:rsid w:val="008331C0"/>
    <w:rsid w:val="008338A2"/>
    <w:rsid w:val="0083419E"/>
    <w:rsid w:val="008466D2"/>
    <w:rsid w:val="00846B57"/>
    <w:rsid w:val="008508B2"/>
    <w:rsid w:val="008526AD"/>
    <w:rsid w:val="00855ED5"/>
    <w:rsid w:val="00857D7F"/>
    <w:rsid w:val="00862D5E"/>
    <w:rsid w:val="00863946"/>
    <w:rsid w:val="008641C7"/>
    <w:rsid w:val="00864A41"/>
    <w:rsid w:val="00867096"/>
    <w:rsid w:val="00870872"/>
    <w:rsid w:val="00871081"/>
    <w:rsid w:val="008717B2"/>
    <w:rsid w:val="00871F2A"/>
    <w:rsid w:val="00875657"/>
    <w:rsid w:val="008763B3"/>
    <w:rsid w:val="00880B78"/>
    <w:rsid w:val="00884059"/>
    <w:rsid w:val="00893DDF"/>
    <w:rsid w:val="008A1AA7"/>
    <w:rsid w:val="008A1C9F"/>
    <w:rsid w:val="008A24E9"/>
    <w:rsid w:val="008A3000"/>
    <w:rsid w:val="008A448E"/>
    <w:rsid w:val="008A4DEE"/>
    <w:rsid w:val="008A5956"/>
    <w:rsid w:val="008A5B0F"/>
    <w:rsid w:val="008A68E8"/>
    <w:rsid w:val="008B04A3"/>
    <w:rsid w:val="008B1B71"/>
    <w:rsid w:val="008B2316"/>
    <w:rsid w:val="008B309E"/>
    <w:rsid w:val="008B6798"/>
    <w:rsid w:val="008B76CB"/>
    <w:rsid w:val="008B7EAA"/>
    <w:rsid w:val="008C0031"/>
    <w:rsid w:val="008C096B"/>
    <w:rsid w:val="008C0E7D"/>
    <w:rsid w:val="008C2625"/>
    <w:rsid w:val="008C513B"/>
    <w:rsid w:val="008C6580"/>
    <w:rsid w:val="008C7B21"/>
    <w:rsid w:val="008D076F"/>
    <w:rsid w:val="008D133E"/>
    <w:rsid w:val="008E0D3E"/>
    <w:rsid w:val="008E22EC"/>
    <w:rsid w:val="008E25EA"/>
    <w:rsid w:val="008E4B77"/>
    <w:rsid w:val="008E4C12"/>
    <w:rsid w:val="008E5844"/>
    <w:rsid w:val="008E68C6"/>
    <w:rsid w:val="008E74C4"/>
    <w:rsid w:val="008F1600"/>
    <w:rsid w:val="008F3DC8"/>
    <w:rsid w:val="008F508A"/>
    <w:rsid w:val="008F511E"/>
    <w:rsid w:val="008F6AAD"/>
    <w:rsid w:val="008F7B42"/>
    <w:rsid w:val="00900DB3"/>
    <w:rsid w:val="009065FF"/>
    <w:rsid w:val="009066F4"/>
    <w:rsid w:val="00914DD8"/>
    <w:rsid w:val="00914FD3"/>
    <w:rsid w:val="00916B92"/>
    <w:rsid w:val="009208DB"/>
    <w:rsid w:val="00920D06"/>
    <w:rsid w:val="009213A7"/>
    <w:rsid w:val="00925135"/>
    <w:rsid w:val="0092519C"/>
    <w:rsid w:val="00925E88"/>
    <w:rsid w:val="009267D0"/>
    <w:rsid w:val="0093074E"/>
    <w:rsid w:val="00930C5B"/>
    <w:rsid w:val="0093120F"/>
    <w:rsid w:val="00934EC3"/>
    <w:rsid w:val="00936769"/>
    <w:rsid w:val="00937E74"/>
    <w:rsid w:val="00942E18"/>
    <w:rsid w:val="0094646F"/>
    <w:rsid w:val="0095080A"/>
    <w:rsid w:val="00950AD0"/>
    <w:rsid w:val="009562CD"/>
    <w:rsid w:val="009565F4"/>
    <w:rsid w:val="00961EA9"/>
    <w:rsid w:val="00963EF5"/>
    <w:rsid w:val="00967755"/>
    <w:rsid w:val="00971777"/>
    <w:rsid w:val="00974116"/>
    <w:rsid w:val="009746B0"/>
    <w:rsid w:val="009827DD"/>
    <w:rsid w:val="00983537"/>
    <w:rsid w:val="009852AE"/>
    <w:rsid w:val="00985BFE"/>
    <w:rsid w:val="00985CA2"/>
    <w:rsid w:val="009867FF"/>
    <w:rsid w:val="00987E3D"/>
    <w:rsid w:val="00987FB4"/>
    <w:rsid w:val="00992B30"/>
    <w:rsid w:val="009A0644"/>
    <w:rsid w:val="009A2B01"/>
    <w:rsid w:val="009A6F26"/>
    <w:rsid w:val="009B0EA0"/>
    <w:rsid w:val="009B2167"/>
    <w:rsid w:val="009B3ECB"/>
    <w:rsid w:val="009C4C6E"/>
    <w:rsid w:val="009C6E01"/>
    <w:rsid w:val="009D0469"/>
    <w:rsid w:val="009D16DA"/>
    <w:rsid w:val="009D21A5"/>
    <w:rsid w:val="009D3585"/>
    <w:rsid w:val="009D3639"/>
    <w:rsid w:val="009D4F10"/>
    <w:rsid w:val="009E13CA"/>
    <w:rsid w:val="009E2CBC"/>
    <w:rsid w:val="009E5106"/>
    <w:rsid w:val="009E5347"/>
    <w:rsid w:val="009E6489"/>
    <w:rsid w:val="009E79CF"/>
    <w:rsid w:val="009F540C"/>
    <w:rsid w:val="009F66CF"/>
    <w:rsid w:val="00A031C2"/>
    <w:rsid w:val="00A061F3"/>
    <w:rsid w:val="00A1131F"/>
    <w:rsid w:val="00A13DEC"/>
    <w:rsid w:val="00A177C9"/>
    <w:rsid w:val="00A21080"/>
    <w:rsid w:val="00A226CF"/>
    <w:rsid w:val="00A27640"/>
    <w:rsid w:val="00A337B1"/>
    <w:rsid w:val="00A33E07"/>
    <w:rsid w:val="00A346BE"/>
    <w:rsid w:val="00A40DAA"/>
    <w:rsid w:val="00A41225"/>
    <w:rsid w:val="00A4262B"/>
    <w:rsid w:val="00A4398A"/>
    <w:rsid w:val="00A44A07"/>
    <w:rsid w:val="00A5167A"/>
    <w:rsid w:val="00A5487F"/>
    <w:rsid w:val="00A54DF3"/>
    <w:rsid w:val="00A56DC4"/>
    <w:rsid w:val="00A60A04"/>
    <w:rsid w:val="00A61E08"/>
    <w:rsid w:val="00A64915"/>
    <w:rsid w:val="00A66AC8"/>
    <w:rsid w:val="00A71B43"/>
    <w:rsid w:val="00A726D1"/>
    <w:rsid w:val="00A73609"/>
    <w:rsid w:val="00A74BE8"/>
    <w:rsid w:val="00A77AD0"/>
    <w:rsid w:val="00A83F69"/>
    <w:rsid w:val="00A9000C"/>
    <w:rsid w:val="00A90278"/>
    <w:rsid w:val="00A92605"/>
    <w:rsid w:val="00A92931"/>
    <w:rsid w:val="00A94CAC"/>
    <w:rsid w:val="00A9732A"/>
    <w:rsid w:val="00A97D21"/>
    <w:rsid w:val="00AA04A8"/>
    <w:rsid w:val="00AA1052"/>
    <w:rsid w:val="00AA1CEB"/>
    <w:rsid w:val="00AA276C"/>
    <w:rsid w:val="00AA2CAF"/>
    <w:rsid w:val="00AA680E"/>
    <w:rsid w:val="00AB09A3"/>
    <w:rsid w:val="00AB59B1"/>
    <w:rsid w:val="00AB6B61"/>
    <w:rsid w:val="00AB7C53"/>
    <w:rsid w:val="00AC02DD"/>
    <w:rsid w:val="00AC21FF"/>
    <w:rsid w:val="00AC5780"/>
    <w:rsid w:val="00AC6E1A"/>
    <w:rsid w:val="00AD10F9"/>
    <w:rsid w:val="00AD250F"/>
    <w:rsid w:val="00AD33B3"/>
    <w:rsid w:val="00AD33EE"/>
    <w:rsid w:val="00AD3EED"/>
    <w:rsid w:val="00AD4265"/>
    <w:rsid w:val="00AD5384"/>
    <w:rsid w:val="00AD6969"/>
    <w:rsid w:val="00AE0AEE"/>
    <w:rsid w:val="00AF24EE"/>
    <w:rsid w:val="00AF281D"/>
    <w:rsid w:val="00AF2E76"/>
    <w:rsid w:val="00AF3699"/>
    <w:rsid w:val="00AF3A9A"/>
    <w:rsid w:val="00AF4C0B"/>
    <w:rsid w:val="00AF4D8C"/>
    <w:rsid w:val="00AF5F9B"/>
    <w:rsid w:val="00AF5FA9"/>
    <w:rsid w:val="00AF5FC0"/>
    <w:rsid w:val="00B03C3F"/>
    <w:rsid w:val="00B05D02"/>
    <w:rsid w:val="00B07FB5"/>
    <w:rsid w:val="00B1350E"/>
    <w:rsid w:val="00B14D9F"/>
    <w:rsid w:val="00B16333"/>
    <w:rsid w:val="00B21CB4"/>
    <w:rsid w:val="00B236B5"/>
    <w:rsid w:val="00B277ED"/>
    <w:rsid w:val="00B31051"/>
    <w:rsid w:val="00B32F29"/>
    <w:rsid w:val="00B3347A"/>
    <w:rsid w:val="00B34A62"/>
    <w:rsid w:val="00B4124F"/>
    <w:rsid w:val="00B41F15"/>
    <w:rsid w:val="00B4405E"/>
    <w:rsid w:val="00B4493A"/>
    <w:rsid w:val="00B44A51"/>
    <w:rsid w:val="00B523BE"/>
    <w:rsid w:val="00B53207"/>
    <w:rsid w:val="00B55273"/>
    <w:rsid w:val="00B63151"/>
    <w:rsid w:val="00B6382D"/>
    <w:rsid w:val="00B64497"/>
    <w:rsid w:val="00B64AC1"/>
    <w:rsid w:val="00B726C1"/>
    <w:rsid w:val="00B762AC"/>
    <w:rsid w:val="00B80418"/>
    <w:rsid w:val="00B83A86"/>
    <w:rsid w:val="00B852A1"/>
    <w:rsid w:val="00B86EE6"/>
    <w:rsid w:val="00B873A6"/>
    <w:rsid w:val="00B87D68"/>
    <w:rsid w:val="00B93A05"/>
    <w:rsid w:val="00BA1354"/>
    <w:rsid w:val="00BA3E8B"/>
    <w:rsid w:val="00BA542B"/>
    <w:rsid w:val="00BA5AAD"/>
    <w:rsid w:val="00BA5D69"/>
    <w:rsid w:val="00BA7B52"/>
    <w:rsid w:val="00BA7CA2"/>
    <w:rsid w:val="00BB25C5"/>
    <w:rsid w:val="00BB2FA8"/>
    <w:rsid w:val="00BB46F6"/>
    <w:rsid w:val="00BB4E67"/>
    <w:rsid w:val="00BC0003"/>
    <w:rsid w:val="00BC0353"/>
    <w:rsid w:val="00BC2527"/>
    <w:rsid w:val="00BC2AEA"/>
    <w:rsid w:val="00BC375E"/>
    <w:rsid w:val="00BC5364"/>
    <w:rsid w:val="00BC61D0"/>
    <w:rsid w:val="00BC7741"/>
    <w:rsid w:val="00BC7FFE"/>
    <w:rsid w:val="00BD2435"/>
    <w:rsid w:val="00BD430F"/>
    <w:rsid w:val="00BE29DC"/>
    <w:rsid w:val="00BE56EA"/>
    <w:rsid w:val="00BE799F"/>
    <w:rsid w:val="00BF1245"/>
    <w:rsid w:val="00BF1915"/>
    <w:rsid w:val="00BF3989"/>
    <w:rsid w:val="00BF7709"/>
    <w:rsid w:val="00C02C4B"/>
    <w:rsid w:val="00C04DB2"/>
    <w:rsid w:val="00C1189A"/>
    <w:rsid w:val="00C12453"/>
    <w:rsid w:val="00C1317B"/>
    <w:rsid w:val="00C14644"/>
    <w:rsid w:val="00C21C06"/>
    <w:rsid w:val="00C23BEE"/>
    <w:rsid w:val="00C242B6"/>
    <w:rsid w:val="00C243C1"/>
    <w:rsid w:val="00C37907"/>
    <w:rsid w:val="00C418A9"/>
    <w:rsid w:val="00C439BE"/>
    <w:rsid w:val="00C43CBD"/>
    <w:rsid w:val="00C45D3B"/>
    <w:rsid w:val="00C47F88"/>
    <w:rsid w:val="00C54068"/>
    <w:rsid w:val="00C565DB"/>
    <w:rsid w:val="00C5751B"/>
    <w:rsid w:val="00C66CD9"/>
    <w:rsid w:val="00C711D6"/>
    <w:rsid w:val="00C7511C"/>
    <w:rsid w:val="00C75D7C"/>
    <w:rsid w:val="00C7625D"/>
    <w:rsid w:val="00C773FA"/>
    <w:rsid w:val="00C80A7B"/>
    <w:rsid w:val="00C85E6C"/>
    <w:rsid w:val="00C921D9"/>
    <w:rsid w:val="00C949D2"/>
    <w:rsid w:val="00C95E1F"/>
    <w:rsid w:val="00C96388"/>
    <w:rsid w:val="00C9685E"/>
    <w:rsid w:val="00CA09A6"/>
    <w:rsid w:val="00CA68D7"/>
    <w:rsid w:val="00CA7D2E"/>
    <w:rsid w:val="00CB331B"/>
    <w:rsid w:val="00CB5FFE"/>
    <w:rsid w:val="00CD1CD9"/>
    <w:rsid w:val="00CD2F35"/>
    <w:rsid w:val="00CD42C2"/>
    <w:rsid w:val="00CD6BA5"/>
    <w:rsid w:val="00CE20DB"/>
    <w:rsid w:val="00CE2536"/>
    <w:rsid w:val="00CE34C3"/>
    <w:rsid w:val="00CE390A"/>
    <w:rsid w:val="00CE48B7"/>
    <w:rsid w:val="00CE6104"/>
    <w:rsid w:val="00CE6D90"/>
    <w:rsid w:val="00CE72EE"/>
    <w:rsid w:val="00CE7540"/>
    <w:rsid w:val="00CF0EC4"/>
    <w:rsid w:val="00CF7D76"/>
    <w:rsid w:val="00D036C9"/>
    <w:rsid w:val="00D0545C"/>
    <w:rsid w:val="00D05883"/>
    <w:rsid w:val="00D07E78"/>
    <w:rsid w:val="00D13BEA"/>
    <w:rsid w:val="00D16D31"/>
    <w:rsid w:val="00D20CE7"/>
    <w:rsid w:val="00D256F1"/>
    <w:rsid w:val="00D25939"/>
    <w:rsid w:val="00D26709"/>
    <w:rsid w:val="00D27FDD"/>
    <w:rsid w:val="00D3120E"/>
    <w:rsid w:val="00D3490B"/>
    <w:rsid w:val="00D3582D"/>
    <w:rsid w:val="00D420B7"/>
    <w:rsid w:val="00D44346"/>
    <w:rsid w:val="00D46131"/>
    <w:rsid w:val="00D50517"/>
    <w:rsid w:val="00D53BE9"/>
    <w:rsid w:val="00D53F05"/>
    <w:rsid w:val="00D54A03"/>
    <w:rsid w:val="00D55AB4"/>
    <w:rsid w:val="00D605EA"/>
    <w:rsid w:val="00D67986"/>
    <w:rsid w:val="00D67F4E"/>
    <w:rsid w:val="00D71653"/>
    <w:rsid w:val="00D76DF6"/>
    <w:rsid w:val="00D81A86"/>
    <w:rsid w:val="00D835BE"/>
    <w:rsid w:val="00D8664F"/>
    <w:rsid w:val="00D86848"/>
    <w:rsid w:val="00D86F0A"/>
    <w:rsid w:val="00D875FB"/>
    <w:rsid w:val="00D87B2A"/>
    <w:rsid w:val="00D9208B"/>
    <w:rsid w:val="00D94458"/>
    <w:rsid w:val="00D97D5E"/>
    <w:rsid w:val="00DA0447"/>
    <w:rsid w:val="00DA198D"/>
    <w:rsid w:val="00DA51AE"/>
    <w:rsid w:val="00DB200D"/>
    <w:rsid w:val="00DB2677"/>
    <w:rsid w:val="00DB3686"/>
    <w:rsid w:val="00DC4A94"/>
    <w:rsid w:val="00DC69BA"/>
    <w:rsid w:val="00DD53A1"/>
    <w:rsid w:val="00DD644F"/>
    <w:rsid w:val="00DD75AF"/>
    <w:rsid w:val="00DE2739"/>
    <w:rsid w:val="00DE4B0B"/>
    <w:rsid w:val="00DE65EE"/>
    <w:rsid w:val="00DE79B8"/>
    <w:rsid w:val="00DF7973"/>
    <w:rsid w:val="00E01784"/>
    <w:rsid w:val="00E06635"/>
    <w:rsid w:val="00E0735E"/>
    <w:rsid w:val="00E12CF1"/>
    <w:rsid w:val="00E12ED4"/>
    <w:rsid w:val="00E1404C"/>
    <w:rsid w:val="00E14829"/>
    <w:rsid w:val="00E14968"/>
    <w:rsid w:val="00E14F18"/>
    <w:rsid w:val="00E174DB"/>
    <w:rsid w:val="00E20227"/>
    <w:rsid w:val="00E202AD"/>
    <w:rsid w:val="00E206B1"/>
    <w:rsid w:val="00E20D87"/>
    <w:rsid w:val="00E21B8C"/>
    <w:rsid w:val="00E2390B"/>
    <w:rsid w:val="00E30F84"/>
    <w:rsid w:val="00E31438"/>
    <w:rsid w:val="00E320D0"/>
    <w:rsid w:val="00E32922"/>
    <w:rsid w:val="00E3304E"/>
    <w:rsid w:val="00E36446"/>
    <w:rsid w:val="00E401BD"/>
    <w:rsid w:val="00E4713B"/>
    <w:rsid w:val="00E47FB2"/>
    <w:rsid w:val="00E51E35"/>
    <w:rsid w:val="00E52F59"/>
    <w:rsid w:val="00E6171B"/>
    <w:rsid w:val="00E64519"/>
    <w:rsid w:val="00E67302"/>
    <w:rsid w:val="00E70A77"/>
    <w:rsid w:val="00E70D49"/>
    <w:rsid w:val="00E7140B"/>
    <w:rsid w:val="00E71CAC"/>
    <w:rsid w:val="00E73350"/>
    <w:rsid w:val="00E7363D"/>
    <w:rsid w:val="00E73BEE"/>
    <w:rsid w:val="00E74470"/>
    <w:rsid w:val="00E74E2F"/>
    <w:rsid w:val="00E768C8"/>
    <w:rsid w:val="00E770AF"/>
    <w:rsid w:val="00E77385"/>
    <w:rsid w:val="00E77CD5"/>
    <w:rsid w:val="00E8033E"/>
    <w:rsid w:val="00E815A0"/>
    <w:rsid w:val="00E833AA"/>
    <w:rsid w:val="00E838F5"/>
    <w:rsid w:val="00E843F0"/>
    <w:rsid w:val="00E84814"/>
    <w:rsid w:val="00E851CC"/>
    <w:rsid w:val="00E8712E"/>
    <w:rsid w:val="00E93E22"/>
    <w:rsid w:val="00E93EE1"/>
    <w:rsid w:val="00E9497E"/>
    <w:rsid w:val="00E956E8"/>
    <w:rsid w:val="00E95812"/>
    <w:rsid w:val="00E969F2"/>
    <w:rsid w:val="00EA2425"/>
    <w:rsid w:val="00EA3952"/>
    <w:rsid w:val="00EA76C1"/>
    <w:rsid w:val="00EB3A7E"/>
    <w:rsid w:val="00EC1D00"/>
    <w:rsid w:val="00EC57B7"/>
    <w:rsid w:val="00EC651F"/>
    <w:rsid w:val="00EC6737"/>
    <w:rsid w:val="00EC7199"/>
    <w:rsid w:val="00ED209D"/>
    <w:rsid w:val="00ED23D8"/>
    <w:rsid w:val="00ED5CA3"/>
    <w:rsid w:val="00ED675D"/>
    <w:rsid w:val="00ED7908"/>
    <w:rsid w:val="00EE3119"/>
    <w:rsid w:val="00EE4363"/>
    <w:rsid w:val="00EE473D"/>
    <w:rsid w:val="00EE5455"/>
    <w:rsid w:val="00EE76C3"/>
    <w:rsid w:val="00EF0858"/>
    <w:rsid w:val="00EF2EBC"/>
    <w:rsid w:val="00EF2FB8"/>
    <w:rsid w:val="00EF4651"/>
    <w:rsid w:val="00EF6DB8"/>
    <w:rsid w:val="00F00826"/>
    <w:rsid w:val="00F019FC"/>
    <w:rsid w:val="00F01D58"/>
    <w:rsid w:val="00F035A7"/>
    <w:rsid w:val="00F04797"/>
    <w:rsid w:val="00F04B3A"/>
    <w:rsid w:val="00F05848"/>
    <w:rsid w:val="00F11064"/>
    <w:rsid w:val="00F1108B"/>
    <w:rsid w:val="00F1150C"/>
    <w:rsid w:val="00F17E67"/>
    <w:rsid w:val="00F26199"/>
    <w:rsid w:val="00F3049C"/>
    <w:rsid w:val="00F30BCF"/>
    <w:rsid w:val="00F32347"/>
    <w:rsid w:val="00F33B88"/>
    <w:rsid w:val="00F363F8"/>
    <w:rsid w:val="00F37651"/>
    <w:rsid w:val="00F42428"/>
    <w:rsid w:val="00F42E90"/>
    <w:rsid w:val="00F43AE6"/>
    <w:rsid w:val="00F479F1"/>
    <w:rsid w:val="00F5278A"/>
    <w:rsid w:val="00F54B32"/>
    <w:rsid w:val="00F55114"/>
    <w:rsid w:val="00F56BA2"/>
    <w:rsid w:val="00F610CE"/>
    <w:rsid w:val="00F616F6"/>
    <w:rsid w:val="00F63545"/>
    <w:rsid w:val="00F65114"/>
    <w:rsid w:val="00F657E1"/>
    <w:rsid w:val="00F65C06"/>
    <w:rsid w:val="00F662E9"/>
    <w:rsid w:val="00F663E5"/>
    <w:rsid w:val="00F75CE9"/>
    <w:rsid w:val="00F77FA4"/>
    <w:rsid w:val="00F82C63"/>
    <w:rsid w:val="00F82EC7"/>
    <w:rsid w:val="00F84867"/>
    <w:rsid w:val="00F86A48"/>
    <w:rsid w:val="00F90402"/>
    <w:rsid w:val="00F9257D"/>
    <w:rsid w:val="00F957EE"/>
    <w:rsid w:val="00F95802"/>
    <w:rsid w:val="00F97742"/>
    <w:rsid w:val="00FA04A5"/>
    <w:rsid w:val="00FA0C47"/>
    <w:rsid w:val="00FB02C4"/>
    <w:rsid w:val="00FB17CF"/>
    <w:rsid w:val="00FB19BC"/>
    <w:rsid w:val="00FB3B14"/>
    <w:rsid w:val="00FB5148"/>
    <w:rsid w:val="00FC3593"/>
    <w:rsid w:val="00FC440F"/>
    <w:rsid w:val="00FC511B"/>
    <w:rsid w:val="00FC67B2"/>
    <w:rsid w:val="00FC6C34"/>
    <w:rsid w:val="00FD2096"/>
    <w:rsid w:val="00FD2460"/>
    <w:rsid w:val="00FD2A6B"/>
    <w:rsid w:val="00FD3928"/>
    <w:rsid w:val="00FD57B6"/>
    <w:rsid w:val="00FD6342"/>
    <w:rsid w:val="00FD6B3C"/>
    <w:rsid w:val="00FD7F5B"/>
    <w:rsid w:val="00FE1FD7"/>
    <w:rsid w:val="00FE256A"/>
    <w:rsid w:val="00FE2C93"/>
    <w:rsid w:val="00FE7A1F"/>
    <w:rsid w:val="00FE7EAF"/>
    <w:rsid w:val="00FF0146"/>
    <w:rsid w:val="00FF037F"/>
    <w:rsid w:val="00FF1ED0"/>
    <w:rsid w:val="00FF4234"/>
    <w:rsid w:val="00FF4D88"/>
    <w:rsid w:val="00FF7C80"/>
    <w:rsid w:val="010F3224"/>
    <w:rsid w:val="012453C2"/>
    <w:rsid w:val="012E6D6D"/>
    <w:rsid w:val="01382079"/>
    <w:rsid w:val="01500A61"/>
    <w:rsid w:val="018E7169"/>
    <w:rsid w:val="0192424F"/>
    <w:rsid w:val="01D85739"/>
    <w:rsid w:val="01EC275B"/>
    <w:rsid w:val="01F64D0F"/>
    <w:rsid w:val="023B1B9B"/>
    <w:rsid w:val="024250AD"/>
    <w:rsid w:val="02505723"/>
    <w:rsid w:val="02850D12"/>
    <w:rsid w:val="028916DF"/>
    <w:rsid w:val="02B250DA"/>
    <w:rsid w:val="03103BAE"/>
    <w:rsid w:val="038C64BB"/>
    <w:rsid w:val="0395672F"/>
    <w:rsid w:val="03A046E8"/>
    <w:rsid w:val="03AC7D7B"/>
    <w:rsid w:val="03B0712D"/>
    <w:rsid w:val="03B44E81"/>
    <w:rsid w:val="03C30C20"/>
    <w:rsid w:val="03C50E3C"/>
    <w:rsid w:val="03D177E1"/>
    <w:rsid w:val="03D970DA"/>
    <w:rsid w:val="03E56B20"/>
    <w:rsid w:val="03EB5B65"/>
    <w:rsid w:val="040B58A5"/>
    <w:rsid w:val="043356ED"/>
    <w:rsid w:val="04537C5C"/>
    <w:rsid w:val="045F760C"/>
    <w:rsid w:val="048350F3"/>
    <w:rsid w:val="048A4D83"/>
    <w:rsid w:val="048C54B6"/>
    <w:rsid w:val="0491696B"/>
    <w:rsid w:val="04D550AF"/>
    <w:rsid w:val="04E4035E"/>
    <w:rsid w:val="05151950"/>
    <w:rsid w:val="053D4B60"/>
    <w:rsid w:val="059F4E18"/>
    <w:rsid w:val="05DD177F"/>
    <w:rsid w:val="05E929D4"/>
    <w:rsid w:val="05EF3F4F"/>
    <w:rsid w:val="05F41565"/>
    <w:rsid w:val="05FA50D6"/>
    <w:rsid w:val="061140E6"/>
    <w:rsid w:val="06540256"/>
    <w:rsid w:val="067B1C86"/>
    <w:rsid w:val="06823015"/>
    <w:rsid w:val="068943A3"/>
    <w:rsid w:val="06F669D2"/>
    <w:rsid w:val="071C11A2"/>
    <w:rsid w:val="072E735F"/>
    <w:rsid w:val="073A250D"/>
    <w:rsid w:val="077741FC"/>
    <w:rsid w:val="077961C6"/>
    <w:rsid w:val="07A86AAB"/>
    <w:rsid w:val="07A9280B"/>
    <w:rsid w:val="07C5140B"/>
    <w:rsid w:val="07CD6512"/>
    <w:rsid w:val="07E00A0F"/>
    <w:rsid w:val="07FC0BA5"/>
    <w:rsid w:val="08147C9D"/>
    <w:rsid w:val="081E7574"/>
    <w:rsid w:val="083A2DD0"/>
    <w:rsid w:val="084D13BF"/>
    <w:rsid w:val="08597DA5"/>
    <w:rsid w:val="08687FE8"/>
    <w:rsid w:val="0870558D"/>
    <w:rsid w:val="08A22F9D"/>
    <w:rsid w:val="08B0518A"/>
    <w:rsid w:val="08F57ACE"/>
    <w:rsid w:val="09004583"/>
    <w:rsid w:val="09365624"/>
    <w:rsid w:val="093C394F"/>
    <w:rsid w:val="093D3223"/>
    <w:rsid w:val="09735085"/>
    <w:rsid w:val="09896468"/>
    <w:rsid w:val="099B4DFE"/>
    <w:rsid w:val="09C433C3"/>
    <w:rsid w:val="09D9119E"/>
    <w:rsid w:val="09EB6352"/>
    <w:rsid w:val="0A2A4487"/>
    <w:rsid w:val="0A851326"/>
    <w:rsid w:val="0AED2C4F"/>
    <w:rsid w:val="0AF049F1"/>
    <w:rsid w:val="0AFD0BBA"/>
    <w:rsid w:val="0B300E52"/>
    <w:rsid w:val="0B493E31"/>
    <w:rsid w:val="0B5C6F2F"/>
    <w:rsid w:val="0B5D5148"/>
    <w:rsid w:val="0B5F56D3"/>
    <w:rsid w:val="0B807CF8"/>
    <w:rsid w:val="0B9A07FC"/>
    <w:rsid w:val="0BB0314A"/>
    <w:rsid w:val="0BB32573"/>
    <w:rsid w:val="0BB64111"/>
    <w:rsid w:val="0BD7170D"/>
    <w:rsid w:val="0C0B585A"/>
    <w:rsid w:val="0C37664F"/>
    <w:rsid w:val="0C5E6434"/>
    <w:rsid w:val="0C6D2B6B"/>
    <w:rsid w:val="0C765D11"/>
    <w:rsid w:val="0C9D4705"/>
    <w:rsid w:val="0CB41A4E"/>
    <w:rsid w:val="0CD143AE"/>
    <w:rsid w:val="0CDF47FD"/>
    <w:rsid w:val="0CF85DDF"/>
    <w:rsid w:val="0D0E1A2C"/>
    <w:rsid w:val="0D0F2395"/>
    <w:rsid w:val="0D133B47"/>
    <w:rsid w:val="0D1701C9"/>
    <w:rsid w:val="0D2070E4"/>
    <w:rsid w:val="0D2D771A"/>
    <w:rsid w:val="0D3F4EDB"/>
    <w:rsid w:val="0D5A2427"/>
    <w:rsid w:val="0D6231A9"/>
    <w:rsid w:val="0D7615AB"/>
    <w:rsid w:val="0D7C08FA"/>
    <w:rsid w:val="0D8D29CB"/>
    <w:rsid w:val="0D934561"/>
    <w:rsid w:val="0D9A5132"/>
    <w:rsid w:val="0DB05DDA"/>
    <w:rsid w:val="0DF447F8"/>
    <w:rsid w:val="0DFD529D"/>
    <w:rsid w:val="0E0F33E0"/>
    <w:rsid w:val="0E3D4F92"/>
    <w:rsid w:val="0E6D0107"/>
    <w:rsid w:val="0E7157CB"/>
    <w:rsid w:val="0E741495"/>
    <w:rsid w:val="0E9658AF"/>
    <w:rsid w:val="0F0C4E9F"/>
    <w:rsid w:val="0F7C24AA"/>
    <w:rsid w:val="0FBD0A3C"/>
    <w:rsid w:val="0FD3668F"/>
    <w:rsid w:val="0FDD306A"/>
    <w:rsid w:val="0FDF0F1F"/>
    <w:rsid w:val="0FEB4A0C"/>
    <w:rsid w:val="0FEB5787"/>
    <w:rsid w:val="1001144E"/>
    <w:rsid w:val="10386DBA"/>
    <w:rsid w:val="10402AAE"/>
    <w:rsid w:val="105C48D7"/>
    <w:rsid w:val="10727C56"/>
    <w:rsid w:val="10D40911"/>
    <w:rsid w:val="10D453C1"/>
    <w:rsid w:val="10DC063A"/>
    <w:rsid w:val="11307B0B"/>
    <w:rsid w:val="113C6CCA"/>
    <w:rsid w:val="113E3FDC"/>
    <w:rsid w:val="11665A0D"/>
    <w:rsid w:val="118F65E6"/>
    <w:rsid w:val="11A55E09"/>
    <w:rsid w:val="11AF3B62"/>
    <w:rsid w:val="11C10E95"/>
    <w:rsid w:val="11C93525"/>
    <w:rsid w:val="11FA6155"/>
    <w:rsid w:val="120050C1"/>
    <w:rsid w:val="12246D4A"/>
    <w:rsid w:val="12577104"/>
    <w:rsid w:val="1279351E"/>
    <w:rsid w:val="128D6FC9"/>
    <w:rsid w:val="12955E7E"/>
    <w:rsid w:val="12BB3B36"/>
    <w:rsid w:val="13053004"/>
    <w:rsid w:val="130577A4"/>
    <w:rsid w:val="1319085D"/>
    <w:rsid w:val="133628F1"/>
    <w:rsid w:val="13367661"/>
    <w:rsid w:val="13386F35"/>
    <w:rsid w:val="136878A5"/>
    <w:rsid w:val="13743CE5"/>
    <w:rsid w:val="13954601"/>
    <w:rsid w:val="13E86DDF"/>
    <w:rsid w:val="13ED70EC"/>
    <w:rsid w:val="13FD5135"/>
    <w:rsid w:val="14005579"/>
    <w:rsid w:val="143A0A8B"/>
    <w:rsid w:val="143F42F3"/>
    <w:rsid w:val="1444298F"/>
    <w:rsid w:val="1472126C"/>
    <w:rsid w:val="14B747FD"/>
    <w:rsid w:val="14D37838"/>
    <w:rsid w:val="14EB26D7"/>
    <w:rsid w:val="14F35C93"/>
    <w:rsid w:val="152F2753"/>
    <w:rsid w:val="154430DB"/>
    <w:rsid w:val="159F7B5F"/>
    <w:rsid w:val="15D441DC"/>
    <w:rsid w:val="15DE412B"/>
    <w:rsid w:val="15EE6590"/>
    <w:rsid w:val="163360DA"/>
    <w:rsid w:val="166718DF"/>
    <w:rsid w:val="16691AFB"/>
    <w:rsid w:val="169A6986"/>
    <w:rsid w:val="16BB4203"/>
    <w:rsid w:val="16E06D16"/>
    <w:rsid w:val="171A008D"/>
    <w:rsid w:val="17486D8F"/>
    <w:rsid w:val="17944956"/>
    <w:rsid w:val="17A66B36"/>
    <w:rsid w:val="181479E1"/>
    <w:rsid w:val="18173990"/>
    <w:rsid w:val="184B14B9"/>
    <w:rsid w:val="18756535"/>
    <w:rsid w:val="188E3CBD"/>
    <w:rsid w:val="19AC5F87"/>
    <w:rsid w:val="19B117EF"/>
    <w:rsid w:val="19C534ED"/>
    <w:rsid w:val="19D810DC"/>
    <w:rsid w:val="1A366198"/>
    <w:rsid w:val="1A4E703E"/>
    <w:rsid w:val="1A514F25"/>
    <w:rsid w:val="1A9829AF"/>
    <w:rsid w:val="1AB06741"/>
    <w:rsid w:val="1AB72386"/>
    <w:rsid w:val="1AC11F06"/>
    <w:rsid w:val="1AC27B76"/>
    <w:rsid w:val="1AEB6CF5"/>
    <w:rsid w:val="1B0267A3"/>
    <w:rsid w:val="1B0C035B"/>
    <w:rsid w:val="1B2D0AA0"/>
    <w:rsid w:val="1B485BA7"/>
    <w:rsid w:val="1B4C5A47"/>
    <w:rsid w:val="1B8D5F15"/>
    <w:rsid w:val="1BA3075D"/>
    <w:rsid w:val="1BD87507"/>
    <w:rsid w:val="1C175829"/>
    <w:rsid w:val="1C5A616E"/>
    <w:rsid w:val="1C65711B"/>
    <w:rsid w:val="1C6B037B"/>
    <w:rsid w:val="1CC7132A"/>
    <w:rsid w:val="1D01483C"/>
    <w:rsid w:val="1D044E45"/>
    <w:rsid w:val="1D1F1166"/>
    <w:rsid w:val="1D3E17CD"/>
    <w:rsid w:val="1D927669"/>
    <w:rsid w:val="1DFE6FCD"/>
    <w:rsid w:val="1E004AF3"/>
    <w:rsid w:val="1E3429EF"/>
    <w:rsid w:val="1E5866DD"/>
    <w:rsid w:val="1E5E7A6C"/>
    <w:rsid w:val="1E673543"/>
    <w:rsid w:val="1EB17E6B"/>
    <w:rsid w:val="1EB93647"/>
    <w:rsid w:val="1EF5217E"/>
    <w:rsid w:val="1F360EAC"/>
    <w:rsid w:val="1F3802BD"/>
    <w:rsid w:val="1F647034"/>
    <w:rsid w:val="1FBF2217"/>
    <w:rsid w:val="1FF00B97"/>
    <w:rsid w:val="201536C3"/>
    <w:rsid w:val="203A2D2E"/>
    <w:rsid w:val="20467D4D"/>
    <w:rsid w:val="20566C4C"/>
    <w:rsid w:val="20845B66"/>
    <w:rsid w:val="209239FD"/>
    <w:rsid w:val="211143DE"/>
    <w:rsid w:val="216E5DB3"/>
    <w:rsid w:val="2183096E"/>
    <w:rsid w:val="21B06BBD"/>
    <w:rsid w:val="21CD2F3E"/>
    <w:rsid w:val="21DE514B"/>
    <w:rsid w:val="21EE1107"/>
    <w:rsid w:val="21F45DEB"/>
    <w:rsid w:val="22327245"/>
    <w:rsid w:val="2250591D"/>
    <w:rsid w:val="22B8599C"/>
    <w:rsid w:val="22BF5495"/>
    <w:rsid w:val="22C81958"/>
    <w:rsid w:val="22CD7548"/>
    <w:rsid w:val="22FF4FEC"/>
    <w:rsid w:val="234124F7"/>
    <w:rsid w:val="2346252F"/>
    <w:rsid w:val="23502079"/>
    <w:rsid w:val="236B39C8"/>
    <w:rsid w:val="236E69A3"/>
    <w:rsid w:val="23C610F8"/>
    <w:rsid w:val="23C916EE"/>
    <w:rsid w:val="23CF23CE"/>
    <w:rsid w:val="23F31903"/>
    <w:rsid w:val="23FE164C"/>
    <w:rsid w:val="244B2840"/>
    <w:rsid w:val="2454743D"/>
    <w:rsid w:val="24BC729A"/>
    <w:rsid w:val="24D657F6"/>
    <w:rsid w:val="24FB6014"/>
    <w:rsid w:val="25537BFE"/>
    <w:rsid w:val="257B5944"/>
    <w:rsid w:val="25825928"/>
    <w:rsid w:val="259F1096"/>
    <w:rsid w:val="25C603D0"/>
    <w:rsid w:val="263C68E5"/>
    <w:rsid w:val="26421471"/>
    <w:rsid w:val="26661BB3"/>
    <w:rsid w:val="26901D07"/>
    <w:rsid w:val="26E4757F"/>
    <w:rsid w:val="271B5158"/>
    <w:rsid w:val="272A498F"/>
    <w:rsid w:val="27313391"/>
    <w:rsid w:val="2734712B"/>
    <w:rsid w:val="274B3289"/>
    <w:rsid w:val="27637EA1"/>
    <w:rsid w:val="276F0DE8"/>
    <w:rsid w:val="27804099"/>
    <w:rsid w:val="279B7263"/>
    <w:rsid w:val="27A9454E"/>
    <w:rsid w:val="27AE736E"/>
    <w:rsid w:val="27B702D4"/>
    <w:rsid w:val="28043432"/>
    <w:rsid w:val="28063558"/>
    <w:rsid w:val="28333D17"/>
    <w:rsid w:val="283B7736"/>
    <w:rsid w:val="28436997"/>
    <w:rsid w:val="287F0D0A"/>
    <w:rsid w:val="28C13CF8"/>
    <w:rsid w:val="28CE47EB"/>
    <w:rsid w:val="28F61170"/>
    <w:rsid w:val="28F90ABD"/>
    <w:rsid w:val="28FE73D4"/>
    <w:rsid w:val="2927562A"/>
    <w:rsid w:val="298B4B63"/>
    <w:rsid w:val="29A3465F"/>
    <w:rsid w:val="29F62822"/>
    <w:rsid w:val="2A135455"/>
    <w:rsid w:val="2A1404C3"/>
    <w:rsid w:val="2A1D4C7F"/>
    <w:rsid w:val="2A4346E5"/>
    <w:rsid w:val="2A4802D6"/>
    <w:rsid w:val="2A664AA5"/>
    <w:rsid w:val="2A6C7839"/>
    <w:rsid w:val="2A7319B4"/>
    <w:rsid w:val="2A751019"/>
    <w:rsid w:val="2AAA192C"/>
    <w:rsid w:val="2AB638A8"/>
    <w:rsid w:val="2ADA5AB2"/>
    <w:rsid w:val="2B011EB4"/>
    <w:rsid w:val="2B041C21"/>
    <w:rsid w:val="2B4F2C16"/>
    <w:rsid w:val="2B8A1EA0"/>
    <w:rsid w:val="2BD378FE"/>
    <w:rsid w:val="2BE07D12"/>
    <w:rsid w:val="2C0663B0"/>
    <w:rsid w:val="2C11789F"/>
    <w:rsid w:val="2C194877"/>
    <w:rsid w:val="2C293467"/>
    <w:rsid w:val="2C6D7E7C"/>
    <w:rsid w:val="2C78356B"/>
    <w:rsid w:val="2CA70D16"/>
    <w:rsid w:val="2CDF7FCA"/>
    <w:rsid w:val="2CE35D0C"/>
    <w:rsid w:val="2CE675AA"/>
    <w:rsid w:val="2D097F36"/>
    <w:rsid w:val="2D173C07"/>
    <w:rsid w:val="2D5F4233"/>
    <w:rsid w:val="2D706516"/>
    <w:rsid w:val="2D74388A"/>
    <w:rsid w:val="2D852799"/>
    <w:rsid w:val="2D924D8F"/>
    <w:rsid w:val="2DB855D2"/>
    <w:rsid w:val="2DD13A8E"/>
    <w:rsid w:val="2DFF723C"/>
    <w:rsid w:val="2E2D4C5E"/>
    <w:rsid w:val="2E301032"/>
    <w:rsid w:val="2E532AC5"/>
    <w:rsid w:val="2E823302"/>
    <w:rsid w:val="2E854F4D"/>
    <w:rsid w:val="2E9430A2"/>
    <w:rsid w:val="2EAC4851"/>
    <w:rsid w:val="2EC644B2"/>
    <w:rsid w:val="2ED52D07"/>
    <w:rsid w:val="2EEE2746"/>
    <w:rsid w:val="2EF22236"/>
    <w:rsid w:val="2F092831"/>
    <w:rsid w:val="2F135104"/>
    <w:rsid w:val="2F1523C9"/>
    <w:rsid w:val="2F1F086E"/>
    <w:rsid w:val="2F220CEE"/>
    <w:rsid w:val="2F2919D0"/>
    <w:rsid w:val="2F9405A4"/>
    <w:rsid w:val="2FEE50F3"/>
    <w:rsid w:val="30004E27"/>
    <w:rsid w:val="30482865"/>
    <w:rsid w:val="304B3919"/>
    <w:rsid w:val="305807BF"/>
    <w:rsid w:val="3096582F"/>
    <w:rsid w:val="30D02502"/>
    <w:rsid w:val="30F358F6"/>
    <w:rsid w:val="311463BA"/>
    <w:rsid w:val="312A31AC"/>
    <w:rsid w:val="314D5E4A"/>
    <w:rsid w:val="319A5580"/>
    <w:rsid w:val="31C97A7D"/>
    <w:rsid w:val="31FD17BE"/>
    <w:rsid w:val="32193F7E"/>
    <w:rsid w:val="324A4137"/>
    <w:rsid w:val="324C6101"/>
    <w:rsid w:val="32943604"/>
    <w:rsid w:val="32B37F2E"/>
    <w:rsid w:val="32DD144F"/>
    <w:rsid w:val="32DD31FD"/>
    <w:rsid w:val="331C3D26"/>
    <w:rsid w:val="33353039"/>
    <w:rsid w:val="335039CF"/>
    <w:rsid w:val="33650912"/>
    <w:rsid w:val="339616E9"/>
    <w:rsid w:val="33B232A1"/>
    <w:rsid w:val="33EE3B4C"/>
    <w:rsid w:val="34331B96"/>
    <w:rsid w:val="34346E4D"/>
    <w:rsid w:val="34627B87"/>
    <w:rsid w:val="348B5970"/>
    <w:rsid w:val="34AD7EA2"/>
    <w:rsid w:val="34CC3529"/>
    <w:rsid w:val="34D97B3E"/>
    <w:rsid w:val="355016A9"/>
    <w:rsid w:val="35567687"/>
    <w:rsid w:val="35600B27"/>
    <w:rsid w:val="359D444E"/>
    <w:rsid w:val="35C661CB"/>
    <w:rsid w:val="35CC2231"/>
    <w:rsid w:val="35DB0918"/>
    <w:rsid w:val="35E37B8D"/>
    <w:rsid w:val="36024CAE"/>
    <w:rsid w:val="36246370"/>
    <w:rsid w:val="362F2DD2"/>
    <w:rsid w:val="364F7F6E"/>
    <w:rsid w:val="36AE3592"/>
    <w:rsid w:val="36C333A8"/>
    <w:rsid w:val="36C36E1E"/>
    <w:rsid w:val="36CD115F"/>
    <w:rsid w:val="37176A6D"/>
    <w:rsid w:val="373B072A"/>
    <w:rsid w:val="37447FD1"/>
    <w:rsid w:val="37536FBC"/>
    <w:rsid w:val="37620C1B"/>
    <w:rsid w:val="378F41EC"/>
    <w:rsid w:val="37971BCD"/>
    <w:rsid w:val="37A2343C"/>
    <w:rsid w:val="37EF7C5B"/>
    <w:rsid w:val="37F50061"/>
    <w:rsid w:val="3803406C"/>
    <w:rsid w:val="38044D88"/>
    <w:rsid w:val="380F3E59"/>
    <w:rsid w:val="38193A27"/>
    <w:rsid w:val="381C20D2"/>
    <w:rsid w:val="38602591"/>
    <w:rsid w:val="38E50E38"/>
    <w:rsid w:val="38E726E0"/>
    <w:rsid w:val="390414E4"/>
    <w:rsid w:val="39094D4C"/>
    <w:rsid w:val="398D772B"/>
    <w:rsid w:val="39A0622B"/>
    <w:rsid w:val="3A1F0125"/>
    <w:rsid w:val="3A213355"/>
    <w:rsid w:val="3A227D51"/>
    <w:rsid w:val="3A2A4F7A"/>
    <w:rsid w:val="3A7E085D"/>
    <w:rsid w:val="3A850402"/>
    <w:rsid w:val="3A8F6FB2"/>
    <w:rsid w:val="3AA67176"/>
    <w:rsid w:val="3ACA050B"/>
    <w:rsid w:val="3AE5262B"/>
    <w:rsid w:val="3B387A25"/>
    <w:rsid w:val="3B7B1805"/>
    <w:rsid w:val="3B954675"/>
    <w:rsid w:val="3BA12D8F"/>
    <w:rsid w:val="3BAB20EB"/>
    <w:rsid w:val="3BBD288F"/>
    <w:rsid w:val="3C3C71E7"/>
    <w:rsid w:val="3C3D31E9"/>
    <w:rsid w:val="3C6D114E"/>
    <w:rsid w:val="3C6D73A0"/>
    <w:rsid w:val="3C8B6140"/>
    <w:rsid w:val="3C941862"/>
    <w:rsid w:val="3CAD1E92"/>
    <w:rsid w:val="3CCC4607"/>
    <w:rsid w:val="3D5B2B83"/>
    <w:rsid w:val="3D5D7415"/>
    <w:rsid w:val="3D687B67"/>
    <w:rsid w:val="3D6A59AB"/>
    <w:rsid w:val="3D6F7148"/>
    <w:rsid w:val="3D7241E0"/>
    <w:rsid w:val="3DA07F0F"/>
    <w:rsid w:val="3DA73D8A"/>
    <w:rsid w:val="3DAE518E"/>
    <w:rsid w:val="3DBA03C3"/>
    <w:rsid w:val="3DBF2805"/>
    <w:rsid w:val="3DC54FBA"/>
    <w:rsid w:val="3DD72EB4"/>
    <w:rsid w:val="3DDA6CB7"/>
    <w:rsid w:val="3DE76656"/>
    <w:rsid w:val="3E431EA7"/>
    <w:rsid w:val="3E4405D4"/>
    <w:rsid w:val="3E9568BB"/>
    <w:rsid w:val="3EC95C35"/>
    <w:rsid w:val="3EF828CD"/>
    <w:rsid w:val="3F001235"/>
    <w:rsid w:val="3F2A16CB"/>
    <w:rsid w:val="3F3917BB"/>
    <w:rsid w:val="3F397A0D"/>
    <w:rsid w:val="3F8D3B7F"/>
    <w:rsid w:val="3FB12AEB"/>
    <w:rsid w:val="3FCA4B09"/>
    <w:rsid w:val="3FE008FC"/>
    <w:rsid w:val="3FEB1CBC"/>
    <w:rsid w:val="3FFA2FD3"/>
    <w:rsid w:val="3FFB58E6"/>
    <w:rsid w:val="3FFC6357"/>
    <w:rsid w:val="40134082"/>
    <w:rsid w:val="40341FEE"/>
    <w:rsid w:val="403E177F"/>
    <w:rsid w:val="407D1B7C"/>
    <w:rsid w:val="40AE04B0"/>
    <w:rsid w:val="40BC26A4"/>
    <w:rsid w:val="40D87FD9"/>
    <w:rsid w:val="41175B2C"/>
    <w:rsid w:val="413310F4"/>
    <w:rsid w:val="4136167C"/>
    <w:rsid w:val="4153619F"/>
    <w:rsid w:val="415E3383"/>
    <w:rsid w:val="416548E3"/>
    <w:rsid w:val="41D1217F"/>
    <w:rsid w:val="41E125B7"/>
    <w:rsid w:val="41F41461"/>
    <w:rsid w:val="4213702F"/>
    <w:rsid w:val="421D3616"/>
    <w:rsid w:val="42C7428C"/>
    <w:rsid w:val="42F63E95"/>
    <w:rsid w:val="430B16C1"/>
    <w:rsid w:val="431762B8"/>
    <w:rsid w:val="43324E9F"/>
    <w:rsid w:val="4361580A"/>
    <w:rsid w:val="43672D9B"/>
    <w:rsid w:val="437D206C"/>
    <w:rsid w:val="43A833B4"/>
    <w:rsid w:val="43E01CAB"/>
    <w:rsid w:val="43F42155"/>
    <w:rsid w:val="441B1065"/>
    <w:rsid w:val="44550E45"/>
    <w:rsid w:val="445826E4"/>
    <w:rsid w:val="44902EA6"/>
    <w:rsid w:val="44B91DA6"/>
    <w:rsid w:val="44F01633"/>
    <w:rsid w:val="45684BA8"/>
    <w:rsid w:val="45725A27"/>
    <w:rsid w:val="457B0D80"/>
    <w:rsid w:val="457D3E5B"/>
    <w:rsid w:val="45A0115D"/>
    <w:rsid w:val="45FB2662"/>
    <w:rsid w:val="4606111A"/>
    <w:rsid w:val="460672F9"/>
    <w:rsid w:val="4629258A"/>
    <w:rsid w:val="46441D9E"/>
    <w:rsid w:val="4646492E"/>
    <w:rsid w:val="464B5F3B"/>
    <w:rsid w:val="467D62CD"/>
    <w:rsid w:val="4680264E"/>
    <w:rsid w:val="46CB1893"/>
    <w:rsid w:val="46F801AE"/>
    <w:rsid w:val="472D5710"/>
    <w:rsid w:val="47391678"/>
    <w:rsid w:val="477B4524"/>
    <w:rsid w:val="47915AC7"/>
    <w:rsid w:val="47CD5197"/>
    <w:rsid w:val="47FA3CDB"/>
    <w:rsid w:val="47FD3F41"/>
    <w:rsid w:val="48335940"/>
    <w:rsid w:val="484C255F"/>
    <w:rsid w:val="487E0B5D"/>
    <w:rsid w:val="48934632"/>
    <w:rsid w:val="48A028AB"/>
    <w:rsid w:val="48D02A50"/>
    <w:rsid w:val="48DB38E3"/>
    <w:rsid w:val="48F94ED4"/>
    <w:rsid w:val="48FD1AAC"/>
    <w:rsid w:val="49153299"/>
    <w:rsid w:val="4916095F"/>
    <w:rsid w:val="49456F2D"/>
    <w:rsid w:val="49557B3A"/>
    <w:rsid w:val="497758C8"/>
    <w:rsid w:val="49977C06"/>
    <w:rsid w:val="49AB18E4"/>
    <w:rsid w:val="49F8195A"/>
    <w:rsid w:val="4A20157C"/>
    <w:rsid w:val="4A413C1A"/>
    <w:rsid w:val="4A872500"/>
    <w:rsid w:val="4AA541A9"/>
    <w:rsid w:val="4AB8320F"/>
    <w:rsid w:val="4AE32F20"/>
    <w:rsid w:val="4AF70B56"/>
    <w:rsid w:val="4AFA62A3"/>
    <w:rsid w:val="4B4350E4"/>
    <w:rsid w:val="4B7324DB"/>
    <w:rsid w:val="4B7508C5"/>
    <w:rsid w:val="4C0A5680"/>
    <w:rsid w:val="4C4A14AC"/>
    <w:rsid w:val="4C624BB0"/>
    <w:rsid w:val="4C653BF0"/>
    <w:rsid w:val="4C6B1B34"/>
    <w:rsid w:val="4C72455F"/>
    <w:rsid w:val="4C9F2604"/>
    <w:rsid w:val="4D491763"/>
    <w:rsid w:val="4D774B1F"/>
    <w:rsid w:val="4D7C38E7"/>
    <w:rsid w:val="4E045B1D"/>
    <w:rsid w:val="4E047438"/>
    <w:rsid w:val="4E094A4F"/>
    <w:rsid w:val="4E37719E"/>
    <w:rsid w:val="4E4340CE"/>
    <w:rsid w:val="4E460132"/>
    <w:rsid w:val="4E557C94"/>
    <w:rsid w:val="4E5B34FC"/>
    <w:rsid w:val="4E5E2FEC"/>
    <w:rsid w:val="4E822D8B"/>
    <w:rsid w:val="4EBC0949"/>
    <w:rsid w:val="4ED27537"/>
    <w:rsid w:val="4EE30B82"/>
    <w:rsid w:val="4F0F2539"/>
    <w:rsid w:val="4F251D5C"/>
    <w:rsid w:val="4F2D6D65"/>
    <w:rsid w:val="4F2E243F"/>
    <w:rsid w:val="4F5472F1"/>
    <w:rsid w:val="4F7254E1"/>
    <w:rsid w:val="505A217A"/>
    <w:rsid w:val="50B26976"/>
    <w:rsid w:val="512E314A"/>
    <w:rsid w:val="516D2E91"/>
    <w:rsid w:val="51AC0513"/>
    <w:rsid w:val="51AE7DE7"/>
    <w:rsid w:val="51B51175"/>
    <w:rsid w:val="51C94D42"/>
    <w:rsid w:val="525E35BB"/>
    <w:rsid w:val="527638A0"/>
    <w:rsid w:val="52925383"/>
    <w:rsid w:val="5294679E"/>
    <w:rsid w:val="52973E3A"/>
    <w:rsid w:val="529D3892"/>
    <w:rsid w:val="52B20AA6"/>
    <w:rsid w:val="535D20A9"/>
    <w:rsid w:val="53A414A2"/>
    <w:rsid w:val="53AC65A8"/>
    <w:rsid w:val="53B3786F"/>
    <w:rsid w:val="53EC0274"/>
    <w:rsid w:val="540006A2"/>
    <w:rsid w:val="54037DED"/>
    <w:rsid w:val="54052768"/>
    <w:rsid w:val="54071A30"/>
    <w:rsid w:val="541D74A6"/>
    <w:rsid w:val="542645AC"/>
    <w:rsid w:val="54992823"/>
    <w:rsid w:val="54BE4EE9"/>
    <w:rsid w:val="54CE241B"/>
    <w:rsid w:val="54E26667"/>
    <w:rsid w:val="5503669C"/>
    <w:rsid w:val="551C150B"/>
    <w:rsid w:val="552F123F"/>
    <w:rsid w:val="55BB0D24"/>
    <w:rsid w:val="55BD684B"/>
    <w:rsid w:val="55F06C20"/>
    <w:rsid w:val="56015C5E"/>
    <w:rsid w:val="562F3EBC"/>
    <w:rsid w:val="56337E0C"/>
    <w:rsid w:val="56462CE4"/>
    <w:rsid w:val="565F7902"/>
    <w:rsid w:val="568915D6"/>
    <w:rsid w:val="569A3F08"/>
    <w:rsid w:val="56BD287A"/>
    <w:rsid w:val="56C25907"/>
    <w:rsid w:val="570D735E"/>
    <w:rsid w:val="572C48AA"/>
    <w:rsid w:val="573B7667"/>
    <w:rsid w:val="577E64AD"/>
    <w:rsid w:val="57903143"/>
    <w:rsid w:val="57BD5228"/>
    <w:rsid w:val="57C23348"/>
    <w:rsid w:val="57C57C38"/>
    <w:rsid w:val="57CB23E2"/>
    <w:rsid w:val="57CE250A"/>
    <w:rsid w:val="582B076C"/>
    <w:rsid w:val="58403763"/>
    <w:rsid w:val="5878114F"/>
    <w:rsid w:val="587D49B7"/>
    <w:rsid w:val="589362A2"/>
    <w:rsid w:val="589C23E3"/>
    <w:rsid w:val="58E6201F"/>
    <w:rsid w:val="58EF3C96"/>
    <w:rsid w:val="59103135"/>
    <w:rsid w:val="59513E7A"/>
    <w:rsid w:val="5955218E"/>
    <w:rsid w:val="59685680"/>
    <w:rsid w:val="598D209F"/>
    <w:rsid w:val="59A30A3D"/>
    <w:rsid w:val="59EC76FE"/>
    <w:rsid w:val="5A7C4F26"/>
    <w:rsid w:val="5A7F75CF"/>
    <w:rsid w:val="5A843DDB"/>
    <w:rsid w:val="5AB3646E"/>
    <w:rsid w:val="5AB36639"/>
    <w:rsid w:val="5B81656C"/>
    <w:rsid w:val="5BEF34D6"/>
    <w:rsid w:val="5C085C8F"/>
    <w:rsid w:val="5C5F48B5"/>
    <w:rsid w:val="5C6C4B26"/>
    <w:rsid w:val="5C7D31D8"/>
    <w:rsid w:val="5C7D7FDA"/>
    <w:rsid w:val="5CB564CD"/>
    <w:rsid w:val="5CDA5F34"/>
    <w:rsid w:val="5CE41FD9"/>
    <w:rsid w:val="5CF91E11"/>
    <w:rsid w:val="5D0500A2"/>
    <w:rsid w:val="5D2726AE"/>
    <w:rsid w:val="5D4F781A"/>
    <w:rsid w:val="5D55380D"/>
    <w:rsid w:val="5D6A473D"/>
    <w:rsid w:val="5D7D740A"/>
    <w:rsid w:val="5D7E7207"/>
    <w:rsid w:val="5D8154CF"/>
    <w:rsid w:val="5D881E34"/>
    <w:rsid w:val="5DE51202"/>
    <w:rsid w:val="5DED0D90"/>
    <w:rsid w:val="5DF32B7D"/>
    <w:rsid w:val="5E287173"/>
    <w:rsid w:val="5E31427A"/>
    <w:rsid w:val="5E5A3E9F"/>
    <w:rsid w:val="5E6463FD"/>
    <w:rsid w:val="5E8A5738"/>
    <w:rsid w:val="5EAD62B4"/>
    <w:rsid w:val="5EBD5C6B"/>
    <w:rsid w:val="5EBE4EAD"/>
    <w:rsid w:val="5ECC6075"/>
    <w:rsid w:val="5EDA196D"/>
    <w:rsid w:val="5F0B5C34"/>
    <w:rsid w:val="5F1F40D2"/>
    <w:rsid w:val="5F30008D"/>
    <w:rsid w:val="5F474097"/>
    <w:rsid w:val="5FBC64F1"/>
    <w:rsid w:val="5FCB3B92"/>
    <w:rsid w:val="5FD55D32"/>
    <w:rsid w:val="60583D0F"/>
    <w:rsid w:val="6061263A"/>
    <w:rsid w:val="607054D9"/>
    <w:rsid w:val="60C45C34"/>
    <w:rsid w:val="60FF7105"/>
    <w:rsid w:val="610C23D3"/>
    <w:rsid w:val="612C112B"/>
    <w:rsid w:val="61314591"/>
    <w:rsid w:val="613253EE"/>
    <w:rsid w:val="61695AD8"/>
    <w:rsid w:val="618628C7"/>
    <w:rsid w:val="618E0D78"/>
    <w:rsid w:val="619535D9"/>
    <w:rsid w:val="61A905CB"/>
    <w:rsid w:val="61AF31ED"/>
    <w:rsid w:val="61CF440F"/>
    <w:rsid w:val="61D110FD"/>
    <w:rsid w:val="621E1B27"/>
    <w:rsid w:val="625366EB"/>
    <w:rsid w:val="62693239"/>
    <w:rsid w:val="626C5880"/>
    <w:rsid w:val="627820ED"/>
    <w:rsid w:val="62AF7E63"/>
    <w:rsid w:val="62B2393B"/>
    <w:rsid w:val="62B41CD4"/>
    <w:rsid w:val="62C12A3F"/>
    <w:rsid w:val="62DD43B4"/>
    <w:rsid w:val="630263E2"/>
    <w:rsid w:val="631D3129"/>
    <w:rsid w:val="63424062"/>
    <w:rsid w:val="636B223F"/>
    <w:rsid w:val="638F75F9"/>
    <w:rsid w:val="639037F0"/>
    <w:rsid w:val="641206A9"/>
    <w:rsid w:val="641A6E47"/>
    <w:rsid w:val="642D103F"/>
    <w:rsid w:val="643A5739"/>
    <w:rsid w:val="64634A61"/>
    <w:rsid w:val="646D1D84"/>
    <w:rsid w:val="64947CD2"/>
    <w:rsid w:val="649E2054"/>
    <w:rsid w:val="64A6296F"/>
    <w:rsid w:val="64D4770D"/>
    <w:rsid w:val="64E8744B"/>
    <w:rsid w:val="64F46001"/>
    <w:rsid w:val="64FF211F"/>
    <w:rsid w:val="653B63AF"/>
    <w:rsid w:val="65586259"/>
    <w:rsid w:val="65C43A5D"/>
    <w:rsid w:val="65D45B69"/>
    <w:rsid w:val="65D5198E"/>
    <w:rsid w:val="65E07B35"/>
    <w:rsid w:val="6604632F"/>
    <w:rsid w:val="66482160"/>
    <w:rsid w:val="66AB0941"/>
    <w:rsid w:val="66CC0FE3"/>
    <w:rsid w:val="66DC2C40"/>
    <w:rsid w:val="66EC51E2"/>
    <w:rsid w:val="67087B42"/>
    <w:rsid w:val="676E03EA"/>
    <w:rsid w:val="67770C81"/>
    <w:rsid w:val="6792058A"/>
    <w:rsid w:val="67DA14DE"/>
    <w:rsid w:val="67DF08A2"/>
    <w:rsid w:val="67E40FD4"/>
    <w:rsid w:val="67FC395A"/>
    <w:rsid w:val="68000819"/>
    <w:rsid w:val="681116CC"/>
    <w:rsid w:val="68354966"/>
    <w:rsid w:val="683C7AA3"/>
    <w:rsid w:val="68463678"/>
    <w:rsid w:val="689B6EBF"/>
    <w:rsid w:val="68AB69D7"/>
    <w:rsid w:val="68D26659"/>
    <w:rsid w:val="695F2907"/>
    <w:rsid w:val="697675F4"/>
    <w:rsid w:val="699A6BDC"/>
    <w:rsid w:val="69D81A4D"/>
    <w:rsid w:val="6A110B15"/>
    <w:rsid w:val="6A163D24"/>
    <w:rsid w:val="6A184540"/>
    <w:rsid w:val="6A211646"/>
    <w:rsid w:val="6A242EE4"/>
    <w:rsid w:val="6A2E78BF"/>
    <w:rsid w:val="6A732D7B"/>
    <w:rsid w:val="6A8532B4"/>
    <w:rsid w:val="6AA47B81"/>
    <w:rsid w:val="6AB204F0"/>
    <w:rsid w:val="6B124FFE"/>
    <w:rsid w:val="6B4B1B44"/>
    <w:rsid w:val="6B76151E"/>
    <w:rsid w:val="6B804346"/>
    <w:rsid w:val="6B9B72B5"/>
    <w:rsid w:val="6BF30DC0"/>
    <w:rsid w:val="6C145039"/>
    <w:rsid w:val="6C2B0313"/>
    <w:rsid w:val="6C5775A1"/>
    <w:rsid w:val="6C643A6C"/>
    <w:rsid w:val="6C9A748E"/>
    <w:rsid w:val="6C9E6F7E"/>
    <w:rsid w:val="6CA02BE9"/>
    <w:rsid w:val="6CB247D7"/>
    <w:rsid w:val="6CFF0B45"/>
    <w:rsid w:val="6D4D700D"/>
    <w:rsid w:val="6D5D0AF7"/>
    <w:rsid w:val="6D6B3E45"/>
    <w:rsid w:val="6D866288"/>
    <w:rsid w:val="6D9B6896"/>
    <w:rsid w:val="6DA2484C"/>
    <w:rsid w:val="6DAA1953"/>
    <w:rsid w:val="6DC9002B"/>
    <w:rsid w:val="6DE40CFD"/>
    <w:rsid w:val="6DFC3BBF"/>
    <w:rsid w:val="6E022AD9"/>
    <w:rsid w:val="6E560970"/>
    <w:rsid w:val="6E8B373F"/>
    <w:rsid w:val="6E9702E1"/>
    <w:rsid w:val="6E992407"/>
    <w:rsid w:val="6EC151A6"/>
    <w:rsid w:val="6EDD18B4"/>
    <w:rsid w:val="6EEF339A"/>
    <w:rsid w:val="6EF63D9A"/>
    <w:rsid w:val="6F2E0C17"/>
    <w:rsid w:val="6F470DBA"/>
    <w:rsid w:val="6F6124E5"/>
    <w:rsid w:val="6F7264A0"/>
    <w:rsid w:val="6F8A5174"/>
    <w:rsid w:val="6FD3288C"/>
    <w:rsid w:val="700319C9"/>
    <w:rsid w:val="700F3CEF"/>
    <w:rsid w:val="701805CE"/>
    <w:rsid w:val="702A1F90"/>
    <w:rsid w:val="70400B93"/>
    <w:rsid w:val="704F37FA"/>
    <w:rsid w:val="70AA22AB"/>
    <w:rsid w:val="70D017EB"/>
    <w:rsid w:val="713559D7"/>
    <w:rsid w:val="714E0847"/>
    <w:rsid w:val="71562176"/>
    <w:rsid w:val="7164168B"/>
    <w:rsid w:val="716B21BF"/>
    <w:rsid w:val="71987EED"/>
    <w:rsid w:val="720F0A32"/>
    <w:rsid w:val="72135483"/>
    <w:rsid w:val="725D751D"/>
    <w:rsid w:val="72741FD0"/>
    <w:rsid w:val="728C7879"/>
    <w:rsid w:val="7295497F"/>
    <w:rsid w:val="729D124C"/>
    <w:rsid w:val="72E37031"/>
    <w:rsid w:val="73244EAF"/>
    <w:rsid w:val="733D0B73"/>
    <w:rsid w:val="738307B0"/>
    <w:rsid w:val="73951389"/>
    <w:rsid w:val="73AA5CAE"/>
    <w:rsid w:val="73B25BA5"/>
    <w:rsid w:val="73BA7203"/>
    <w:rsid w:val="73C13552"/>
    <w:rsid w:val="73D6524F"/>
    <w:rsid w:val="73DD0BE0"/>
    <w:rsid w:val="73F70FED"/>
    <w:rsid w:val="7413028B"/>
    <w:rsid w:val="74363F40"/>
    <w:rsid w:val="74411F41"/>
    <w:rsid w:val="746565D3"/>
    <w:rsid w:val="74742FCD"/>
    <w:rsid w:val="747647D7"/>
    <w:rsid w:val="74854075"/>
    <w:rsid w:val="748D0FBC"/>
    <w:rsid w:val="74934C9E"/>
    <w:rsid w:val="749E656F"/>
    <w:rsid w:val="74A0585D"/>
    <w:rsid w:val="74B37EBB"/>
    <w:rsid w:val="74CA473F"/>
    <w:rsid w:val="74CF7188"/>
    <w:rsid w:val="74FE2F87"/>
    <w:rsid w:val="75441528"/>
    <w:rsid w:val="754E680F"/>
    <w:rsid w:val="756B7C19"/>
    <w:rsid w:val="758213F7"/>
    <w:rsid w:val="758550AF"/>
    <w:rsid w:val="75A2469A"/>
    <w:rsid w:val="75CC114A"/>
    <w:rsid w:val="76BC501A"/>
    <w:rsid w:val="770E21AF"/>
    <w:rsid w:val="7719665F"/>
    <w:rsid w:val="771D13E7"/>
    <w:rsid w:val="774B7D02"/>
    <w:rsid w:val="775C3CBE"/>
    <w:rsid w:val="7784136F"/>
    <w:rsid w:val="77B14446"/>
    <w:rsid w:val="78025942"/>
    <w:rsid w:val="782332B4"/>
    <w:rsid w:val="785D5583"/>
    <w:rsid w:val="78635D18"/>
    <w:rsid w:val="78725343"/>
    <w:rsid w:val="789D17EF"/>
    <w:rsid w:val="78A27DF6"/>
    <w:rsid w:val="78B35B5F"/>
    <w:rsid w:val="78BA4B50"/>
    <w:rsid w:val="78BC4E27"/>
    <w:rsid w:val="78D855C6"/>
    <w:rsid w:val="78EB7D6C"/>
    <w:rsid w:val="79030169"/>
    <w:rsid w:val="7956473D"/>
    <w:rsid w:val="79641F51"/>
    <w:rsid w:val="79673023"/>
    <w:rsid w:val="7981136A"/>
    <w:rsid w:val="79AB05EF"/>
    <w:rsid w:val="79B93567"/>
    <w:rsid w:val="79CA12B5"/>
    <w:rsid w:val="79D20E2A"/>
    <w:rsid w:val="79F857F4"/>
    <w:rsid w:val="7A0A7CB7"/>
    <w:rsid w:val="7A356A48"/>
    <w:rsid w:val="7A4D200A"/>
    <w:rsid w:val="7A8377B3"/>
    <w:rsid w:val="7A92108F"/>
    <w:rsid w:val="7A9419C0"/>
    <w:rsid w:val="7A9C77BD"/>
    <w:rsid w:val="7AB06E64"/>
    <w:rsid w:val="7AEE2FDB"/>
    <w:rsid w:val="7AFD7566"/>
    <w:rsid w:val="7B1D19B6"/>
    <w:rsid w:val="7B5E1275"/>
    <w:rsid w:val="7B6C6C16"/>
    <w:rsid w:val="7B8321E6"/>
    <w:rsid w:val="7B842237"/>
    <w:rsid w:val="7B8B2700"/>
    <w:rsid w:val="7BB5399C"/>
    <w:rsid w:val="7BB75966"/>
    <w:rsid w:val="7C050769"/>
    <w:rsid w:val="7C323B2B"/>
    <w:rsid w:val="7C7970C0"/>
    <w:rsid w:val="7C7B53E8"/>
    <w:rsid w:val="7C7E46D6"/>
    <w:rsid w:val="7C8917B4"/>
    <w:rsid w:val="7CA42D68"/>
    <w:rsid w:val="7CCF6CE0"/>
    <w:rsid w:val="7D0746CC"/>
    <w:rsid w:val="7D3A0FE0"/>
    <w:rsid w:val="7D5B0573"/>
    <w:rsid w:val="7D605B8A"/>
    <w:rsid w:val="7D660B03"/>
    <w:rsid w:val="7D717D97"/>
    <w:rsid w:val="7D866C66"/>
    <w:rsid w:val="7D99109C"/>
    <w:rsid w:val="7DB90321"/>
    <w:rsid w:val="7DBA7990"/>
    <w:rsid w:val="7DF05160"/>
    <w:rsid w:val="7DF80610"/>
    <w:rsid w:val="7E0B1F99"/>
    <w:rsid w:val="7E885398"/>
    <w:rsid w:val="7E971A7F"/>
    <w:rsid w:val="7EA37652"/>
    <w:rsid w:val="7ED405DD"/>
    <w:rsid w:val="7ED72D83"/>
    <w:rsid w:val="7ED777A3"/>
    <w:rsid w:val="7EDE1815"/>
    <w:rsid w:val="7EDF2CC8"/>
    <w:rsid w:val="7EEF18BB"/>
    <w:rsid w:val="7EFF53A9"/>
    <w:rsid w:val="7F236C1A"/>
    <w:rsid w:val="7F25708B"/>
    <w:rsid w:val="7F6C2F0C"/>
    <w:rsid w:val="7F785338"/>
    <w:rsid w:val="7F802513"/>
    <w:rsid w:val="7F9B559F"/>
    <w:rsid w:val="7FA33B30"/>
    <w:rsid w:val="7FAB5E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textAlignment w:val="baseline"/>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30"/>
    <w:qFormat/>
    <w:uiPriority w:val="9"/>
    <w:pPr>
      <w:keepNext/>
      <w:keepLines/>
      <w:outlineLvl w:val="0"/>
    </w:pPr>
    <w:rPr>
      <w:rFonts w:eastAsia="黑体"/>
      <w:b/>
      <w:bCs/>
      <w:kern w:val="44"/>
      <w:sz w:val="32"/>
      <w:szCs w:val="44"/>
    </w:rPr>
  </w:style>
  <w:style w:type="paragraph" w:styleId="3">
    <w:name w:val="heading 2"/>
    <w:basedOn w:val="1"/>
    <w:next w:val="1"/>
    <w:unhideWhenUsed/>
    <w:qFormat/>
    <w:uiPriority w:val="9"/>
    <w:pPr>
      <w:keepNext/>
      <w:keepLines/>
      <w:spacing w:line="240" w:lineRule="auto"/>
      <w:ind w:firstLine="643"/>
      <w:outlineLvl w:val="1"/>
    </w:pPr>
    <w:rPr>
      <w:rFonts w:eastAsia="黑体"/>
      <w:b/>
      <w:sz w:val="30"/>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link w:val="28"/>
    <w:qFormat/>
    <w:uiPriority w:val="9"/>
    <w:pPr>
      <w:widowControl/>
      <w:spacing w:before="100" w:beforeAutospacing="1" w:after="100" w:afterAutospacing="1"/>
      <w:jc w:val="left"/>
      <w:outlineLvl w:val="3"/>
    </w:pPr>
    <w:rPr>
      <w:rFonts w:ascii="宋体" w:hAnsi="宋体" w:eastAsia="宋体" w:cs="宋体"/>
      <w:b/>
      <w:bCs/>
      <w:kern w:val="0"/>
      <w:szCs w:val="24"/>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6">
    <w:name w:val="Document Map"/>
    <w:basedOn w:val="1"/>
    <w:link w:val="29"/>
    <w:semiHidden/>
    <w:unhideWhenUsed/>
    <w:qFormat/>
    <w:uiPriority w:val="99"/>
    <w:rPr>
      <w:rFonts w:ascii="宋体" w:eastAsia="宋体"/>
      <w:sz w:val="18"/>
      <w:szCs w:val="18"/>
    </w:rPr>
  </w:style>
  <w:style w:type="paragraph" w:styleId="7">
    <w:name w:val="annotation text"/>
    <w:basedOn w:val="1"/>
    <w:semiHidden/>
    <w:unhideWhenUsed/>
    <w:qFormat/>
    <w:uiPriority w:val="99"/>
    <w:pPr>
      <w:jc w:val="left"/>
    </w:pPr>
  </w:style>
  <w:style w:type="paragraph" w:styleId="8">
    <w:name w:val="Body Text"/>
    <w:basedOn w:val="1"/>
    <w:link w:val="50"/>
    <w:qFormat/>
    <w:uiPriority w:val="1"/>
    <w:pPr>
      <w:autoSpaceDE w:val="0"/>
      <w:autoSpaceDN w:val="0"/>
      <w:adjustRightInd w:val="0"/>
      <w:spacing w:line="240" w:lineRule="auto"/>
      <w:ind w:firstLine="0" w:firstLineChars="0"/>
      <w:jc w:val="left"/>
      <w:textAlignment w:val="auto"/>
    </w:pPr>
    <w:rPr>
      <w:rFonts w:ascii="宋体" w:eastAsia="宋体" w:cs="宋体"/>
      <w:kern w:val="0"/>
      <w:sz w:val="13"/>
      <w:szCs w:val="13"/>
    </w:rPr>
  </w:style>
  <w:style w:type="paragraph" w:styleId="9">
    <w:name w:val="toc 3"/>
    <w:basedOn w:val="1"/>
    <w:next w:val="1"/>
    <w:unhideWhenUsed/>
    <w:qFormat/>
    <w:uiPriority w:val="39"/>
    <w:pPr>
      <w:ind w:left="840" w:leftChars="400"/>
    </w:pPr>
  </w:style>
  <w:style w:type="paragraph" w:styleId="10">
    <w:name w:val="Date"/>
    <w:basedOn w:val="1"/>
    <w:next w:val="1"/>
    <w:link w:val="44"/>
    <w:semiHidden/>
    <w:unhideWhenUsed/>
    <w:qFormat/>
    <w:uiPriority w:val="99"/>
    <w:pPr>
      <w:ind w:left="100" w:leftChars="2500"/>
    </w:pPr>
  </w:style>
  <w:style w:type="paragraph" w:styleId="11">
    <w:name w:val="Balloon Text"/>
    <w:basedOn w:val="1"/>
    <w:link w:val="27"/>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Cs w:val="24"/>
    </w:r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0">
    <w:name w:val="Emphasis"/>
    <w:basedOn w:val="19"/>
    <w:qFormat/>
    <w:uiPriority w:val="20"/>
    <w:rPr>
      <w:i/>
      <w:iCs/>
    </w:rPr>
  </w:style>
  <w:style w:type="character" w:styleId="21">
    <w:name w:val="Hyperlink"/>
    <w:basedOn w:val="19"/>
    <w:unhideWhenUsed/>
    <w:qFormat/>
    <w:uiPriority w:val="99"/>
    <w:rPr>
      <w:color w:val="0000FF"/>
      <w:u w:val="single"/>
    </w:rPr>
  </w:style>
  <w:style w:type="paragraph" w:customStyle="1" w:styleId="22">
    <w:name w:val="正文 首行缩进:  2 字符"/>
    <w:basedOn w:val="1"/>
    <w:qFormat/>
    <w:uiPriority w:val="0"/>
    <w:pPr>
      <w:ind w:firstLine="579"/>
    </w:pPr>
    <w:rPr>
      <w:rFonts w:cs="宋体"/>
      <w:sz w:val="28"/>
      <w:szCs w:val="20"/>
    </w:rPr>
  </w:style>
  <w:style w:type="character" w:customStyle="1" w:styleId="23">
    <w:name w:val="页眉 字符"/>
    <w:basedOn w:val="19"/>
    <w:link w:val="13"/>
    <w:qFormat/>
    <w:uiPriority w:val="99"/>
    <w:rPr>
      <w:rFonts w:eastAsiaTheme="minorEastAsia" w:cstheme="minorBidi"/>
      <w:kern w:val="2"/>
      <w:sz w:val="18"/>
      <w:szCs w:val="18"/>
    </w:rPr>
  </w:style>
  <w:style w:type="character" w:customStyle="1" w:styleId="24">
    <w:name w:val="页脚 字符"/>
    <w:basedOn w:val="19"/>
    <w:link w:val="12"/>
    <w:qFormat/>
    <w:uiPriority w:val="99"/>
    <w:rPr>
      <w:sz w:val="18"/>
      <w:szCs w:val="18"/>
    </w:rPr>
  </w:style>
  <w:style w:type="paragraph" w:styleId="25">
    <w:name w:val="List Paragraph"/>
    <w:basedOn w:val="1"/>
    <w:link w:val="45"/>
    <w:qFormat/>
    <w:uiPriority w:val="34"/>
    <w:pPr>
      <w:ind w:firstLine="420"/>
    </w:pPr>
  </w:style>
  <w:style w:type="table" w:customStyle="1" w:styleId="26">
    <w:name w:val="Table Normal"/>
    <w:semiHidden/>
    <w:unhideWhenUsed/>
    <w:qFormat/>
    <w:uiPriority w:val="0"/>
    <w:rPr>
      <w:rFonts w:ascii="Arial" w:hAnsi="Arial" w:cs="Arial"/>
    </w:rPr>
    <w:tblPr>
      <w:tblCellMar>
        <w:top w:w="0" w:type="dxa"/>
        <w:left w:w="0" w:type="dxa"/>
        <w:bottom w:w="0" w:type="dxa"/>
        <w:right w:w="0" w:type="dxa"/>
      </w:tblCellMar>
    </w:tblPr>
  </w:style>
  <w:style w:type="character" w:customStyle="1" w:styleId="27">
    <w:name w:val="批注框文本 字符"/>
    <w:basedOn w:val="19"/>
    <w:link w:val="11"/>
    <w:semiHidden/>
    <w:qFormat/>
    <w:uiPriority w:val="99"/>
    <w:rPr>
      <w:sz w:val="18"/>
      <w:szCs w:val="18"/>
    </w:rPr>
  </w:style>
  <w:style w:type="character" w:customStyle="1" w:styleId="28">
    <w:name w:val="标题 4 字符"/>
    <w:basedOn w:val="19"/>
    <w:link w:val="5"/>
    <w:qFormat/>
    <w:uiPriority w:val="9"/>
    <w:rPr>
      <w:rFonts w:ascii="宋体" w:hAnsi="宋体" w:eastAsia="宋体" w:cs="宋体"/>
      <w:b/>
      <w:bCs/>
      <w:kern w:val="0"/>
      <w:sz w:val="24"/>
      <w:szCs w:val="24"/>
    </w:rPr>
  </w:style>
  <w:style w:type="character" w:customStyle="1" w:styleId="29">
    <w:name w:val="文档结构图 字符"/>
    <w:basedOn w:val="19"/>
    <w:link w:val="6"/>
    <w:semiHidden/>
    <w:qFormat/>
    <w:uiPriority w:val="99"/>
    <w:rPr>
      <w:rFonts w:ascii="宋体" w:eastAsia="宋体"/>
      <w:sz w:val="18"/>
      <w:szCs w:val="18"/>
    </w:rPr>
  </w:style>
  <w:style w:type="character" w:customStyle="1" w:styleId="30">
    <w:name w:val="标题 1 字符"/>
    <w:basedOn w:val="19"/>
    <w:link w:val="2"/>
    <w:qFormat/>
    <w:uiPriority w:val="9"/>
    <w:rPr>
      <w:rFonts w:eastAsia="黑体" w:cstheme="minorBidi"/>
      <w:b/>
      <w:bCs/>
      <w:kern w:val="44"/>
      <w:sz w:val="32"/>
      <w:szCs w:val="44"/>
    </w:rPr>
  </w:style>
  <w:style w:type="paragraph" w:customStyle="1" w:styleId="31">
    <w:name w:val="表格"/>
    <w:basedOn w:val="1"/>
    <w:link w:val="33"/>
    <w:qFormat/>
    <w:uiPriority w:val="0"/>
    <w:pPr>
      <w:jc w:val="left"/>
    </w:pPr>
    <w:rPr>
      <w:rFonts w:ascii="Calibri" w:hAnsi="Calibri" w:eastAsia="宋体" w:cs="Times New Roman"/>
      <w:color w:val="000000"/>
      <w:szCs w:val="21"/>
    </w:rPr>
  </w:style>
  <w:style w:type="paragraph" w:customStyle="1" w:styleId="32">
    <w:name w:val="图标表头"/>
    <w:basedOn w:val="1"/>
    <w:link w:val="34"/>
    <w:qFormat/>
    <w:uiPriority w:val="0"/>
    <w:pPr>
      <w:jc w:val="center"/>
    </w:pPr>
    <w:rPr>
      <w:rFonts w:ascii="Calibri" w:hAnsi="Calibri" w:eastAsia="宋体" w:cs="Times New Roman"/>
    </w:rPr>
  </w:style>
  <w:style w:type="character" w:customStyle="1" w:styleId="33">
    <w:name w:val="表格 Char"/>
    <w:basedOn w:val="19"/>
    <w:link w:val="31"/>
    <w:qFormat/>
    <w:uiPriority w:val="0"/>
    <w:rPr>
      <w:rFonts w:ascii="Calibri" w:hAnsi="Calibri" w:eastAsia="宋体" w:cs="Times New Roman"/>
      <w:color w:val="000000"/>
      <w:szCs w:val="21"/>
    </w:rPr>
  </w:style>
  <w:style w:type="character" w:customStyle="1" w:styleId="34">
    <w:name w:val="图标表头 Char"/>
    <w:basedOn w:val="19"/>
    <w:link w:val="32"/>
    <w:qFormat/>
    <w:uiPriority w:val="0"/>
    <w:rPr>
      <w:rFonts w:ascii="Calibri" w:hAnsi="Calibri" w:eastAsia="宋体" w:cs="Times New Roman"/>
      <w:sz w:val="24"/>
    </w:rPr>
  </w:style>
  <w:style w:type="paragraph" w:customStyle="1" w:styleId="35">
    <w:name w:val="TOC 标题1"/>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font21"/>
    <w:basedOn w:val="19"/>
    <w:qFormat/>
    <w:uiPriority w:val="0"/>
    <w:rPr>
      <w:rFonts w:ascii="font-weight : 400" w:hAnsi="font-weight : 400" w:eastAsia="font-weight : 400" w:cs="font-weight : 400"/>
      <w:color w:val="000000"/>
      <w:sz w:val="22"/>
      <w:szCs w:val="22"/>
      <w:u w:val="none"/>
    </w:rPr>
  </w:style>
  <w:style w:type="character" w:customStyle="1" w:styleId="37">
    <w:name w:val="font01"/>
    <w:basedOn w:val="19"/>
    <w:qFormat/>
    <w:uiPriority w:val="0"/>
    <w:rPr>
      <w:rFonts w:hint="eastAsia" w:ascii="宋体" w:hAnsi="宋体" w:eastAsia="宋体" w:cs="宋体"/>
      <w:color w:val="FF0000"/>
      <w:sz w:val="22"/>
      <w:szCs w:val="22"/>
      <w:u w:val="none"/>
    </w:rPr>
  </w:style>
  <w:style w:type="character" w:customStyle="1" w:styleId="38">
    <w:name w:val="font11"/>
    <w:basedOn w:val="19"/>
    <w:qFormat/>
    <w:uiPriority w:val="0"/>
    <w:rPr>
      <w:rFonts w:hint="eastAsia" w:ascii="宋体" w:hAnsi="宋体" w:eastAsia="宋体" w:cs="宋体"/>
      <w:color w:val="000000"/>
      <w:sz w:val="22"/>
      <w:szCs w:val="22"/>
      <w:u w:val="none"/>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1">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42">
    <w:name w:val="Revision"/>
    <w:hidden/>
    <w:semiHidden/>
    <w:qFormat/>
    <w:uiPriority w:val="99"/>
    <w:rPr>
      <w:rFonts w:asciiTheme="minorHAnsi" w:hAnsiTheme="minorHAnsi" w:eastAsiaTheme="minorEastAsia" w:cstheme="minorBidi"/>
      <w:kern w:val="2"/>
      <w:sz w:val="24"/>
      <w:szCs w:val="22"/>
      <w:lang w:val="en-US" w:eastAsia="zh-CN" w:bidi="ar-SA"/>
    </w:rPr>
  </w:style>
  <w:style w:type="character" w:customStyle="1" w:styleId="43">
    <w:name w:val="highlight"/>
    <w:basedOn w:val="19"/>
    <w:qFormat/>
    <w:uiPriority w:val="0"/>
  </w:style>
  <w:style w:type="character" w:customStyle="1" w:styleId="44">
    <w:name w:val="日期 字符"/>
    <w:basedOn w:val="19"/>
    <w:link w:val="10"/>
    <w:semiHidden/>
    <w:qFormat/>
    <w:uiPriority w:val="99"/>
    <w:rPr>
      <w:rFonts w:eastAsiaTheme="minorEastAsia" w:cstheme="minorBidi"/>
      <w:kern w:val="2"/>
      <w:sz w:val="24"/>
      <w:szCs w:val="22"/>
    </w:rPr>
  </w:style>
  <w:style w:type="character" w:customStyle="1" w:styleId="45">
    <w:name w:val="列出段落 字符"/>
    <w:link w:val="25"/>
    <w:qFormat/>
    <w:uiPriority w:val="34"/>
    <w:rPr>
      <w:rFonts w:eastAsiaTheme="minorEastAsia" w:cstheme="minorBidi"/>
      <w:kern w:val="2"/>
      <w:sz w:val="24"/>
      <w:szCs w:val="22"/>
    </w:rPr>
  </w:style>
  <w:style w:type="paragraph" w:customStyle="1" w:styleId="46">
    <w:name w:val="列出段落1"/>
    <w:basedOn w:val="1"/>
    <w:link w:val="47"/>
    <w:qFormat/>
    <w:uiPriority w:val="0"/>
    <w:pPr>
      <w:spacing w:line="240" w:lineRule="auto"/>
      <w:ind w:firstLine="420"/>
      <w:textAlignment w:val="auto"/>
    </w:pPr>
    <w:rPr>
      <w:rFonts w:eastAsia="宋体" w:cs="Times New Roman"/>
      <w:sz w:val="21"/>
      <w:szCs w:val="24"/>
      <w:lang w:val="zh-CN" w:eastAsia="zh-CN"/>
    </w:rPr>
  </w:style>
  <w:style w:type="character" w:customStyle="1" w:styleId="47">
    <w:name w:val="List Paragraph Char"/>
    <w:link w:val="46"/>
    <w:qFormat/>
    <w:locked/>
    <w:uiPriority w:val="0"/>
    <w:rPr>
      <w:kern w:val="2"/>
      <w:sz w:val="21"/>
      <w:szCs w:val="24"/>
      <w:lang w:val="zh-CN" w:eastAsia="zh-CN"/>
    </w:rPr>
  </w:style>
  <w:style w:type="paragraph" w:customStyle="1" w:styleId="4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9">
    <w:name w:val="Table Paragraph"/>
    <w:basedOn w:val="1"/>
    <w:qFormat/>
    <w:uiPriority w:val="1"/>
    <w:pPr>
      <w:autoSpaceDE w:val="0"/>
      <w:autoSpaceDN w:val="0"/>
      <w:adjustRightInd w:val="0"/>
      <w:spacing w:line="240" w:lineRule="auto"/>
      <w:ind w:firstLine="0" w:firstLineChars="0"/>
      <w:jc w:val="left"/>
      <w:textAlignment w:val="auto"/>
    </w:pPr>
    <w:rPr>
      <w:rFonts w:ascii="宋体" w:eastAsia="宋体" w:cs="宋体"/>
      <w:kern w:val="0"/>
      <w:szCs w:val="24"/>
    </w:rPr>
  </w:style>
  <w:style w:type="character" w:customStyle="1" w:styleId="50">
    <w:name w:val="正文文本 字符"/>
    <w:basedOn w:val="19"/>
    <w:link w:val="8"/>
    <w:qFormat/>
    <w:uiPriority w:val="1"/>
    <w:rPr>
      <w:rFonts w:ascii="宋体" w:cs="宋体"/>
      <w:sz w:val="13"/>
      <w:szCs w:val="13"/>
    </w:rPr>
  </w:style>
  <w:style w:type="paragraph" w:customStyle="1" w:styleId="51">
    <w:name w:val="样式1"/>
    <w:link w:val="52"/>
    <w:qFormat/>
    <w:uiPriority w:val="0"/>
    <w:pPr>
      <w:spacing w:line="360" w:lineRule="auto"/>
      <w:jc w:val="center"/>
    </w:pPr>
    <w:rPr>
      <w:rFonts w:ascii="宋体" w:hAnsi="宋体" w:eastAsia="宋体" w:cs="Times New Roman"/>
      <w:color w:val="000000"/>
      <w:sz w:val="21"/>
      <w:szCs w:val="24"/>
      <w:lang w:val="en-US" w:eastAsia="zh-CN" w:bidi="ar-SA"/>
    </w:rPr>
  </w:style>
  <w:style w:type="character" w:customStyle="1" w:styleId="52">
    <w:name w:val="样式1 字符"/>
    <w:basedOn w:val="19"/>
    <w:link w:val="51"/>
    <w:qFormat/>
    <w:uiPriority w:val="0"/>
    <w:rPr>
      <w:rFonts w:ascii="宋体" w:hAnsi="宋体"/>
      <w:color w:val="000000"/>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8D6F7-20F0-4960-A1BA-7EC27DA7A39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25064</Words>
  <Characters>26209</Characters>
  <Lines>224</Lines>
  <Paragraphs>63</Paragraphs>
  <TotalTime>4861</TotalTime>
  <ScaleCrop>false</ScaleCrop>
  <LinksUpToDate>false</LinksUpToDate>
  <CharactersWithSpaces>26471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2022-09-26T01:06:00Z</dcterms:created>
  <dc:creator>微软用户</dc:creator>
  <cp:lastModifiedBy>曼曼杜-凯儿得乐</cp:lastModifiedBy>
  <cp:lastPrinted>2023-06-13T07:10:00Z</cp:lastPrinted>
  <dcterms:modified xsi:type="dcterms:W3CDTF">2023-06-14T00:24:57Z</dcterms:modified>
  <cp:revision>755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D48BC62B2BE440DFAC0C905362BFCF39_13</vt:lpwstr>
  </property>
</Properties>
</file>