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5</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三</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58F6BCA1">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5</w:t>
      </w:r>
      <w:r>
        <w:rPr>
          <w:rFonts w:hint="eastAsia" w:ascii="黑体" w:hAnsi="宋体" w:eastAsia="黑体" w:cs="Times New Roman"/>
          <w:sz w:val="32"/>
          <w:szCs w:val="32"/>
        </w:rPr>
        <w:t>期国有建设用地使用权挂牌出让公告</w:t>
      </w:r>
    </w:p>
    <w:p w14:paraId="2C6AC7B3">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Times New Roman"/>
          <w:sz w:val="32"/>
          <w:szCs w:val="44"/>
        </w:rPr>
        <w:t>号</w:t>
      </w:r>
    </w:p>
    <w:p w14:paraId="1568DF53">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0B89F267">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6008</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地块的国有建设用地使用权。现将有关事项公告如下：</w:t>
      </w:r>
    </w:p>
    <w:p w14:paraId="6FD156E6">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6981A2CC">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04A31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09428FE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933183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5B7D5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5ACDD25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A9A51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E759E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613B45A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49F54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4F2134E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739A20D9">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98EF4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FF2ED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580C4C6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33ACCC2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3ECCE21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2990BD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35653E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06ACAC5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64D4128D">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0224ACA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2023D59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3787818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4CBD59F0">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4227500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196F3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A5E23B6">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3DE908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60A5FF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60F29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728C7B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2562FAE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71687B3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7C4C9BE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40E1307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441848E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6E8A5267">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FDAF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G26008</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0754E32">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灵乡镇灵成大道以西、蒙纳精密制造有限公司以南地块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63D7C9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23524.09</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149B5EB">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21402.04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0F8DA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ADD6B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D009A3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A2BFBD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013BD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6A1F45D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4780016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DF2D25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0FCEF8E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38.6</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971407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386</w:t>
            </w:r>
          </w:p>
        </w:tc>
      </w:tr>
      <w:tr w14:paraId="5CED4132">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ED435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G26009</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413E79A">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灵乡镇南戴路以东、湖北蒙纳精密制造有限公司以南、灵成大道以西地块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2344CB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10807.42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8C6D0A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10484.35</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34B929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BAB5F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F05245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F84BB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B4CFB0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3F487D5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3FDDE9C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084EF6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2CB702F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18.9</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266F48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189</w:t>
            </w:r>
          </w:p>
        </w:tc>
      </w:tr>
      <w:tr w14:paraId="18171B8C">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CF14F4F">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G26008、G26009号地块</w:t>
            </w:r>
            <w:r>
              <w:rPr>
                <w:rFonts w:hint="eastAsia"/>
                <w:sz w:val="18"/>
                <w:szCs w:val="18"/>
              </w:rPr>
              <w:t>所需办公及生活服务设施用地面积不得超过总用地面积的</w:t>
            </w:r>
            <w:r>
              <w:rPr>
                <w:rFonts w:hint="eastAsia"/>
                <w:sz w:val="18"/>
                <w:szCs w:val="18"/>
                <w:lang w:val="en-US" w:eastAsia="zh-CN"/>
              </w:rPr>
              <w:t>10</w:t>
            </w:r>
            <w:r>
              <w:rPr>
                <w:rFonts w:hint="eastAsia"/>
                <w:sz w:val="18"/>
                <w:szCs w:val="18"/>
              </w:rPr>
              <w:t>%</w:t>
            </w:r>
            <w:r>
              <w:rPr>
                <w:rFonts w:hint="eastAsia"/>
                <w:sz w:val="18"/>
                <w:szCs w:val="18"/>
                <w:lang w:eastAsia="zh-CN"/>
              </w:rPr>
              <w:t>，</w:t>
            </w:r>
            <w:r>
              <w:rPr>
                <w:rFonts w:hint="eastAsia"/>
                <w:sz w:val="18"/>
                <w:szCs w:val="18"/>
                <w:lang w:val="en-US" w:eastAsia="zh-CN"/>
              </w:rPr>
              <w:t>G26008、G26009号地块建筑面积不得超过总建筑面积的20%。</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146CA695">
      <w:pPr>
        <w:spacing w:line="460" w:lineRule="exact"/>
        <w:rPr>
          <w:rFonts w:hint="eastAsia" w:ascii="仿宋" w:hAnsi="仿宋" w:eastAsia="仿宋" w:cs="仿宋"/>
          <w:sz w:val="32"/>
          <w:szCs w:val="32"/>
        </w:rPr>
      </w:pPr>
    </w:p>
    <w:p w14:paraId="75FB0A35">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1D2C7B24">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44CAE779">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136FD896">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1FDD907C">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1DA7A506">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0C7188E1">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1F0B1D5C">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27EDB486">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750D4B7E">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4C8C78BB">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596AD601">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71D41CD3">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24AAC961">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3122510A">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01959A9F">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1422D817">
      <w:pPr>
        <w:spacing w:line="440" w:lineRule="exact"/>
        <w:ind w:firstLine="5120" w:firstLineChars="1600"/>
        <w:rPr>
          <w:rFonts w:ascii="仿宋" w:hAnsi="仿宋" w:eastAsia="仿宋" w:cs="仿宋"/>
          <w:sz w:val="32"/>
          <w:szCs w:val="32"/>
        </w:rPr>
      </w:pPr>
    </w:p>
    <w:p w14:paraId="69FC531E">
      <w:pPr>
        <w:tabs>
          <w:tab w:val="left" w:pos="7515"/>
        </w:tabs>
        <w:spacing w:line="580" w:lineRule="exact"/>
        <w:ind w:firstLine="442" w:firstLineChars="100"/>
        <w:jc w:val="both"/>
        <w:rPr>
          <w:rFonts w:hint="eastAsia" w:ascii="宋体" w:hAnsi="宋体"/>
          <w:b/>
          <w:sz w:val="44"/>
          <w:szCs w:val="44"/>
        </w:rPr>
      </w:pPr>
    </w:p>
    <w:p w14:paraId="3697332A">
      <w:pPr>
        <w:tabs>
          <w:tab w:val="left" w:pos="7515"/>
        </w:tabs>
        <w:spacing w:line="580" w:lineRule="exact"/>
        <w:ind w:firstLine="442" w:firstLineChars="100"/>
        <w:jc w:val="both"/>
        <w:rPr>
          <w:rFonts w:hint="eastAsia" w:ascii="宋体" w:hAnsi="宋体"/>
          <w:b/>
          <w:sz w:val="44"/>
          <w:szCs w:val="44"/>
        </w:rPr>
      </w:pPr>
    </w:p>
    <w:p w14:paraId="19381955">
      <w:pPr>
        <w:tabs>
          <w:tab w:val="left" w:pos="7515"/>
        </w:tabs>
        <w:spacing w:line="580" w:lineRule="exact"/>
        <w:ind w:firstLine="442" w:firstLineChars="100"/>
        <w:jc w:val="both"/>
        <w:rPr>
          <w:rFonts w:hint="eastAsia" w:ascii="宋体" w:hAnsi="宋体"/>
          <w:b/>
          <w:sz w:val="44"/>
          <w:szCs w:val="44"/>
        </w:rPr>
      </w:pPr>
    </w:p>
    <w:p w14:paraId="166BB406">
      <w:pPr>
        <w:tabs>
          <w:tab w:val="left" w:pos="7515"/>
        </w:tabs>
        <w:spacing w:line="580" w:lineRule="exact"/>
        <w:ind w:firstLine="442" w:firstLineChars="100"/>
        <w:jc w:val="both"/>
        <w:rPr>
          <w:rFonts w:hint="eastAsia" w:ascii="宋体" w:hAnsi="宋体"/>
          <w:b/>
          <w:sz w:val="44"/>
          <w:szCs w:val="44"/>
        </w:rPr>
      </w:pPr>
    </w:p>
    <w:p w14:paraId="4594AF09">
      <w:pPr>
        <w:tabs>
          <w:tab w:val="left" w:pos="7515"/>
        </w:tabs>
        <w:spacing w:line="580" w:lineRule="exact"/>
        <w:ind w:firstLine="442" w:firstLineChars="100"/>
        <w:jc w:val="both"/>
        <w:rPr>
          <w:rFonts w:hint="eastAsia" w:ascii="宋体" w:hAnsi="宋体"/>
          <w:b/>
          <w:sz w:val="44"/>
          <w:szCs w:val="44"/>
        </w:rPr>
      </w:pPr>
    </w:p>
    <w:p w14:paraId="75FD6687">
      <w:pPr>
        <w:tabs>
          <w:tab w:val="left" w:pos="7515"/>
        </w:tabs>
        <w:spacing w:line="580" w:lineRule="exact"/>
        <w:ind w:firstLine="442" w:firstLineChars="100"/>
        <w:jc w:val="both"/>
        <w:rPr>
          <w:rFonts w:hint="eastAsia" w:ascii="宋体" w:hAnsi="宋体"/>
          <w:b/>
          <w:sz w:val="44"/>
          <w:szCs w:val="44"/>
        </w:rPr>
      </w:pPr>
    </w:p>
    <w:p w14:paraId="49452032">
      <w:pPr>
        <w:tabs>
          <w:tab w:val="left" w:pos="7515"/>
        </w:tabs>
        <w:spacing w:line="580" w:lineRule="exact"/>
        <w:ind w:firstLine="442" w:firstLineChars="1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 w:hAnsi="仿宋" w:eastAsia="仿宋" w:cs="仿宋"/>
          <w:sz w:val="32"/>
          <w:szCs w:val="32"/>
        </w:rPr>
        <w:t>G2</w:t>
      </w:r>
      <w:r>
        <w:rPr>
          <w:rFonts w:hint="eastAsia" w:ascii="仿宋" w:hAnsi="仿宋" w:eastAsia="仿宋" w:cs="仿宋"/>
          <w:sz w:val="32"/>
          <w:szCs w:val="32"/>
          <w:lang w:val="en-US" w:eastAsia="zh-CN"/>
        </w:rPr>
        <w:t>6008</w:t>
      </w:r>
      <w:r>
        <w:rPr>
          <w:rFonts w:hint="eastAsia" w:ascii="仿宋" w:hAnsi="仿宋" w:eastAsia="仿宋" w:cs="仿宋"/>
          <w:sz w:val="32"/>
          <w:szCs w:val="32"/>
        </w:rPr>
        <w:t>号</w:t>
      </w:r>
      <w:r>
        <w:rPr>
          <w:rFonts w:hint="eastAsia" w:ascii="仿宋" w:hAnsi="仿宋" w:eastAsia="仿宋" w:cs="仿宋"/>
          <w:sz w:val="32"/>
          <w:szCs w:val="32"/>
          <w:lang w:val="en-US" w:eastAsia="zh-CN"/>
        </w:rPr>
        <w:t>等2宗</w:t>
      </w:r>
      <w:r>
        <w:rPr>
          <w:rFonts w:hint="eastAsia" w:ascii="仿宋" w:hAnsi="仿宋" w:eastAsia="仿宋" w:cs="仿宋"/>
          <w:sz w:val="32"/>
          <w:szCs w:val="32"/>
        </w:rPr>
        <w:t>地块</w:t>
      </w:r>
      <w:r>
        <w:rPr>
          <w:rFonts w:hint="eastAsia" w:ascii="仿宋_GB2312" w:hAnsi="仿宋_GB2312" w:eastAsia="仿宋_GB2312" w:cs="仿宋_GB2312"/>
          <w:sz w:val="32"/>
          <w:szCs w:val="32"/>
        </w:rPr>
        <w:t>的国有建设用地使用权。</w:t>
      </w:r>
    </w:p>
    <w:p w14:paraId="3D043BB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bookmarkStart w:id="0" w:name="_GoBack"/>
      <w:bookmarkEnd w:id="0"/>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30FB3322">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ED631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3BA4D90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534A8A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0D30E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325164F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53FBE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033010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1EC30FE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2DAA0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5D5C6D9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298C1482">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D840F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780A9E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1C01AE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7C9D822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6DD6276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7EB30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47CA27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349BC32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7FC94CB8">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0C9B64E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5874AD8C">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1CBF940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63740BD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7A84433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CFD3D3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D83774C">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18432AA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6C8524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89C421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520386A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1B40BAE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28B7933E">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4CBE5D3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63D7A23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6015EFC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766200A7">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E7DB57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G26008</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F45A61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灵乡镇灵成大道以西、蒙纳精密制造有限公司以南地块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C5620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23524.09</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57DA8E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21402.04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ABEDE7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6B1A7C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C75A0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2B3CE3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7EFE78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37AD0B9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7233893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4F781C6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33CF4C6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38.6</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38E051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386</w:t>
            </w:r>
          </w:p>
        </w:tc>
      </w:tr>
      <w:tr w14:paraId="31D0305D">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285DA5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G26009</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0DDBD3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灵乡镇南戴路以东、湖北蒙纳精密制造有限公司以南、灵成大道以西地块</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DBCD69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10807.42</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567439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10484.35</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B16211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二类工业用地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A285D1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E23F8B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3D2E0F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710EB8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24</w:t>
            </w:r>
          </w:p>
        </w:tc>
        <w:tc>
          <w:tcPr>
            <w:tcW w:w="630" w:type="dxa"/>
            <w:tcBorders>
              <w:top w:val="single" w:color="auto" w:sz="4" w:space="0"/>
              <w:left w:val="nil"/>
              <w:bottom w:val="single" w:color="auto" w:sz="4" w:space="0"/>
              <w:right w:val="single" w:color="auto" w:sz="4" w:space="0"/>
            </w:tcBorders>
            <w:noWrap w:val="0"/>
            <w:vAlign w:val="center"/>
          </w:tcPr>
          <w:p w14:paraId="2488FA4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rPr>
            </w:pPr>
            <w:r>
              <w:rPr>
                <w:rFonts w:hint="eastAsia" w:ascii="宋体" w:hAnsi="宋体"/>
                <w:sz w:val="18"/>
                <w:szCs w:val="18"/>
              </w:rPr>
              <w:t>≥</w:t>
            </w:r>
            <w:r>
              <w:rPr>
                <w:rFonts w:hint="eastAsia" w:ascii="宋体" w:hAnsi="宋体"/>
                <w:sz w:val="18"/>
                <w:szCs w:val="18"/>
                <w:lang w:val="en-US" w:eastAsia="zh-CN"/>
              </w:rPr>
              <w:t>350</w:t>
            </w:r>
          </w:p>
        </w:tc>
        <w:tc>
          <w:tcPr>
            <w:tcW w:w="645" w:type="dxa"/>
            <w:tcBorders>
              <w:top w:val="single" w:color="auto" w:sz="4" w:space="0"/>
              <w:left w:val="nil"/>
              <w:bottom w:val="single" w:color="auto" w:sz="4" w:space="0"/>
              <w:right w:val="single" w:color="auto" w:sz="4" w:space="0"/>
            </w:tcBorders>
            <w:noWrap w:val="0"/>
            <w:vAlign w:val="center"/>
          </w:tcPr>
          <w:p w14:paraId="7585E41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30</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628E924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71947E8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18.9</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4E863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189</w:t>
            </w:r>
          </w:p>
        </w:tc>
      </w:tr>
      <w:tr w14:paraId="63205706">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FC136C6">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G26008、G26009号地块</w:t>
            </w:r>
            <w:r>
              <w:rPr>
                <w:rFonts w:hint="eastAsia"/>
                <w:sz w:val="18"/>
                <w:szCs w:val="18"/>
              </w:rPr>
              <w:t>所需办公及生活服务设施用地面积不得超过总用地面积的</w:t>
            </w:r>
            <w:r>
              <w:rPr>
                <w:rFonts w:hint="eastAsia"/>
                <w:sz w:val="18"/>
                <w:szCs w:val="18"/>
                <w:lang w:val="en-US" w:eastAsia="zh-CN"/>
              </w:rPr>
              <w:t>10</w:t>
            </w:r>
            <w:r>
              <w:rPr>
                <w:rFonts w:hint="eastAsia"/>
                <w:sz w:val="18"/>
                <w:szCs w:val="18"/>
              </w:rPr>
              <w:t>%</w:t>
            </w:r>
            <w:r>
              <w:rPr>
                <w:rFonts w:hint="eastAsia"/>
                <w:sz w:val="18"/>
                <w:szCs w:val="18"/>
                <w:lang w:eastAsia="zh-CN"/>
              </w:rPr>
              <w:t>，</w:t>
            </w:r>
            <w:r>
              <w:rPr>
                <w:rFonts w:hint="eastAsia"/>
                <w:sz w:val="18"/>
                <w:szCs w:val="18"/>
                <w:lang w:val="en-US" w:eastAsia="zh-CN"/>
              </w:rPr>
              <w:t>G26008、G26009号地块建筑面积不得超过总建筑面积的20%。</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5833C98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73F2DD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特别约定</w:t>
      </w:r>
    </w:p>
    <w:p w14:paraId="0E9B06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G26008、G26009号地块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、通上水。</w:t>
      </w:r>
    </w:p>
    <w:p w14:paraId="1F75600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G26008、G26009号地块土地交付工作</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val="en-US" w:eastAsia="zh-CN"/>
        </w:rPr>
        <w:t>灵乡镇政府</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宗地内场地</w:t>
      </w:r>
      <w:r>
        <w:rPr>
          <w:rFonts w:hint="eastAsia" w:ascii="仿宋_GB2312" w:hAnsi="仿宋_GB2312" w:eastAsia="仿宋_GB2312" w:cs="仿宋_GB2312"/>
          <w:sz w:val="32"/>
          <w:szCs w:val="32"/>
          <w:lang w:val="en-US" w:eastAsia="zh-CN"/>
        </w:rPr>
        <w:t>平整交付。</w:t>
      </w:r>
    </w:p>
    <w:p w14:paraId="59F8BB6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）上述</w:t>
      </w:r>
      <w:r>
        <w:rPr>
          <w:rFonts w:hint="eastAsia" w:ascii="仿宋_GB2312" w:hAnsi="仿宋_GB2312" w:eastAsia="仿宋_GB2312" w:cs="仿宋_GB2312"/>
          <w:sz w:val="32"/>
          <w:szCs w:val="32"/>
          <w:lang w:val="en-US" w:eastAsia="zh-CN"/>
        </w:rPr>
        <w:t>地块</w:t>
      </w:r>
      <w:r>
        <w:rPr>
          <w:rFonts w:hint="eastAsia" w:ascii="仿宋_GB2312" w:hAnsi="仿宋_GB2312" w:eastAsia="仿宋_GB2312" w:cs="仿宋_GB2312"/>
          <w:sz w:val="32"/>
          <w:szCs w:val="32"/>
        </w:rPr>
        <w:t>挂牌出让成交后，竞得人应在成交之日起</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局另行告知。</w:t>
      </w:r>
    </w:p>
    <w:p w14:paraId="64E4F3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上述</w:t>
      </w:r>
      <w:r>
        <w:rPr>
          <w:rFonts w:hint="eastAsia" w:ascii="仿宋_GB2312" w:hAnsi="仿宋_GB2312" w:eastAsia="仿宋_GB2312" w:cs="仿宋_GB2312"/>
          <w:sz w:val="32"/>
          <w:szCs w:val="32"/>
          <w:lang w:val="en-US" w:eastAsia="zh-CN"/>
        </w:rPr>
        <w:t>地块</w:t>
      </w:r>
      <w:r>
        <w:rPr>
          <w:rFonts w:hint="eastAsia" w:ascii="仿宋_GB2312" w:hAnsi="仿宋_GB2312" w:eastAsia="仿宋_GB2312" w:cs="仿宋_GB2312"/>
          <w:sz w:val="32"/>
          <w:szCs w:val="32"/>
        </w:rPr>
        <w:t>以现状挂牌出让，实际勘测交付面积与挂牌出让文件标明的出让面积差异率在1%以内的，面积差异不影响成交价格。</w:t>
      </w:r>
    </w:p>
    <w:p w14:paraId="253D292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上述地块都按“标准地”要求执行。G26008、G26009号地块所需办公及生活服务设施用地面积不得超过总用地面积的10%，G26008、G26009号地块建筑面积不得超过总建筑面积的20%。固定资产投资强度及项目投产后亩均税收按公告执行，项目应符合环评要素要求，项目建设前需完成环评审批手续，涉及的权属及征地补偿拆迁安置等事宜由所属乡镇政府负责。</w:t>
      </w:r>
    </w:p>
    <w:p w14:paraId="70C87BE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2B8EBA4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（四）允许银行保函替代土地出让竞买保证金，</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rPr>
        <w:t>地</w:t>
      </w:r>
      <w:r>
        <w:rPr>
          <w:rFonts w:hint="eastAsia" w:ascii="仿宋_GB2312" w:hAnsi="仿宋_GB2312" w:eastAsia="仿宋_GB2312" w:cs="仿宋_GB2312"/>
          <w:sz w:val="32"/>
          <w:szCs w:val="32"/>
          <w:lang w:val="en-US" w:eastAsia="zh-CN"/>
        </w:rPr>
        <w:t>块</w:t>
      </w:r>
      <w:r>
        <w:rPr>
          <w:rFonts w:hint="eastAsia" w:ascii="仿宋_GB2312" w:hAnsi="仿宋_GB2312" w:eastAsia="仿宋_GB2312" w:cs="仿宋_GB2312"/>
          <w:sz w:val="32"/>
          <w:szCs w:val="32"/>
        </w:rPr>
        <w:t>的竞买保证金为：</w:t>
      </w:r>
    </w:p>
    <w:p w14:paraId="7EE6AA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lang w:val="en-US" w:eastAsia="zh-CN"/>
        </w:rPr>
        <w:t>26008</w:t>
      </w:r>
      <w:r>
        <w:rPr>
          <w:rFonts w:hint="eastAsia" w:ascii="仿宋_GB2312" w:hAnsi="仿宋_GB2312" w:eastAsia="仿宋_GB2312" w:cs="仿宋_GB2312"/>
          <w:sz w:val="32"/>
          <w:szCs w:val="32"/>
        </w:rPr>
        <w:t>号地块为人民币大写</w:t>
      </w:r>
      <w:r>
        <w:rPr>
          <w:rFonts w:hint="eastAsia" w:ascii="仿宋_GB2312" w:hAnsi="仿宋_GB2312" w:eastAsia="仿宋_GB2312" w:cs="仿宋_GB2312"/>
          <w:sz w:val="32"/>
          <w:szCs w:val="32"/>
          <w:lang w:val="en-US" w:eastAsia="zh-CN"/>
        </w:rPr>
        <w:t>叁</w:t>
      </w:r>
      <w:r>
        <w:rPr>
          <w:rFonts w:hint="eastAsia" w:ascii="仿宋_GB2312" w:hAnsi="仿宋_GB2312" w:eastAsia="仿宋_GB2312" w:cs="仿宋_GB2312"/>
          <w:sz w:val="32"/>
          <w:szCs w:val="32"/>
          <w:lang w:eastAsia="zh-CN"/>
        </w:rPr>
        <w:t>拾</w:t>
      </w:r>
      <w:r>
        <w:rPr>
          <w:rFonts w:hint="eastAsia" w:ascii="仿宋_GB2312" w:hAnsi="仿宋_GB2312" w:eastAsia="仿宋_GB2312" w:cs="仿宋_GB2312"/>
          <w:sz w:val="32"/>
          <w:szCs w:val="32"/>
          <w:lang w:val="en-US" w:eastAsia="zh-CN"/>
        </w:rPr>
        <w:t>捌</w:t>
      </w:r>
      <w:r>
        <w:rPr>
          <w:rFonts w:hint="eastAsia" w:ascii="仿宋_GB2312" w:hAnsi="仿宋_GB2312" w:eastAsia="仿宋_GB2312" w:cs="仿宋_GB2312"/>
          <w:sz w:val="32"/>
          <w:szCs w:val="32"/>
        </w:rPr>
        <w:t>万</w:t>
      </w:r>
      <w:r>
        <w:rPr>
          <w:rFonts w:hint="eastAsia" w:ascii="仿宋_GB2312" w:hAnsi="仿宋_GB2312" w:eastAsia="仿宋_GB2312" w:cs="仿宋_GB2312"/>
          <w:sz w:val="32"/>
          <w:szCs w:val="32"/>
          <w:lang w:val="en-US" w:eastAsia="zh-CN"/>
        </w:rPr>
        <w:t>陆仟</w:t>
      </w:r>
      <w:r>
        <w:rPr>
          <w:rFonts w:hint="eastAsia" w:ascii="仿宋_GB2312" w:hAnsi="仿宋_GB2312" w:eastAsia="仿宋_GB2312" w:cs="仿宋_GB2312"/>
          <w:sz w:val="32"/>
          <w:szCs w:val="32"/>
        </w:rPr>
        <w:t>元整（￥：</w:t>
      </w:r>
      <w:r>
        <w:rPr>
          <w:rFonts w:hint="eastAsia" w:ascii="仿宋_GB2312" w:hAnsi="仿宋_GB2312" w:eastAsia="仿宋_GB2312" w:cs="仿宋_GB2312"/>
          <w:sz w:val="32"/>
          <w:szCs w:val="32"/>
          <w:lang w:val="en-US" w:eastAsia="zh-CN"/>
        </w:rPr>
        <w:t>3860</w:t>
      </w:r>
      <w:r>
        <w:rPr>
          <w:rFonts w:hint="eastAsia" w:ascii="仿宋_GB2312" w:hAnsi="仿宋_GB2312" w:eastAsia="仿宋_GB2312" w:cs="仿宋_GB2312"/>
          <w:sz w:val="32"/>
          <w:szCs w:val="32"/>
        </w:rPr>
        <w:t>00.00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p>
    <w:p w14:paraId="72E988B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lang w:val="en-US" w:eastAsia="zh-CN"/>
        </w:rPr>
        <w:t>26009</w:t>
      </w:r>
      <w:r>
        <w:rPr>
          <w:rFonts w:hint="eastAsia" w:ascii="仿宋_GB2312" w:hAnsi="仿宋_GB2312" w:eastAsia="仿宋_GB2312" w:cs="仿宋_GB2312"/>
          <w:sz w:val="32"/>
          <w:szCs w:val="32"/>
        </w:rPr>
        <w:t>号地块为人民币大写</w:t>
      </w:r>
      <w:r>
        <w:rPr>
          <w:rFonts w:hint="eastAsia" w:ascii="仿宋_GB2312" w:hAnsi="仿宋_GB2312" w:eastAsia="仿宋_GB2312" w:cs="仿宋_GB2312"/>
          <w:sz w:val="32"/>
          <w:szCs w:val="32"/>
          <w:lang w:val="en-US" w:eastAsia="zh-CN"/>
        </w:rPr>
        <w:t>壹拾捌万玖仟</w:t>
      </w:r>
      <w:r>
        <w:rPr>
          <w:rFonts w:hint="eastAsia" w:ascii="仿宋_GB2312" w:hAnsi="仿宋_GB2312" w:eastAsia="仿宋_GB2312" w:cs="仿宋_GB2312"/>
          <w:sz w:val="32"/>
          <w:szCs w:val="32"/>
        </w:rPr>
        <w:t>元整（￥：</w:t>
      </w:r>
      <w:r>
        <w:rPr>
          <w:rFonts w:hint="eastAsia" w:ascii="仿宋_GB2312" w:hAnsi="仿宋_GB2312" w:eastAsia="仿宋_GB2312" w:cs="仿宋_GB2312"/>
          <w:sz w:val="32"/>
          <w:szCs w:val="32"/>
          <w:lang w:val="en-US" w:eastAsia="zh-CN"/>
        </w:rPr>
        <w:t>1890</w:t>
      </w:r>
      <w:r>
        <w:rPr>
          <w:rFonts w:hint="eastAsia" w:ascii="仿宋_GB2312" w:hAnsi="仿宋_GB2312" w:eastAsia="仿宋_GB2312" w:cs="仿宋_GB2312"/>
          <w:sz w:val="32"/>
          <w:szCs w:val="32"/>
        </w:rPr>
        <w:t>00.00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w:t>
      </w:r>
    </w:p>
    <w:p w14:paraId="48B245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5AA150E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各地块</w:t>
      </w:r>
      <w:r>
        <w:rPr>
          <w:rFonts w:hint="eastAsia" w:ascii="仿宋_GB2312" w:hAnsi="仿宋_GB2312" w:eastAsia="仿宋_GB2312" w:cs="仿宋_GB2312"/>
          <w:sz w:val="32"/>
          <w:szCs w:val="32"/>
        </w:rPr>
        <w:t xml:space="preserve">的出让起始价、增价幅度 </w:t>
      </w:r>
    </w:p>
    <w:p w14:paraId="62F102B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lang w:val="en-US" w:eastAsia="zh-CN"/>
        </w:rPr>
        <w:t>26008</w:t>
      </w:r>
      <w:r>
        <w:rPr>
          <w:rFonts w:hint="eastAsia" w:ascii="仿宋_GB2312" w:hAnsi="仿宋_GB2312" w:eastAsia="仿宋_GB2312" w:cs="仿宋_GB2312"/>
          <w:sz w:val="32"/>
          <w:szCs w:val="32"/>
        </w:rPr>
        <w:t>号地块出让起始价为人民币大写</w:t>
      </w:r>
      <w:r>
        <w:rPr>
          <w:rFonts w:hint="eastAsia" w:ascii="仿宋_GB2312" w:hAnsi="仿宋_GB2312" w:eastAsia="仿宋_GB2312" w:cs="仿宋_GB2312"/>
          <w:sz w:val="32"/>
          <w:szCs w:val="32"/>
          <w:lang w:val="en-US" w:eastAsia="zh-CN"/>
        </w:rPr>
        <w:t>叁佰捌拾陆</w:t>
      </w:r>
      <w:r>
        <w:rPr>
          <w:rFonts w:hint="eastAsia" w:ascii="仿宋_GB2312" w:hAnsi="仿宋_GB2312" w:eastAsia="仿宋_GB2312" w:cs="仿宋_GB2312"/>
          <w:sz w:val="32"/>
          <w:szCs w:val="32"/>
        </w:rPr>
        <w:t>万元整（￥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386</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），增价幅度为人民币壹万元或壹万元的整倍数。</w:t>
      </w:r>
    </w:p>
    <w:p w14:paraId="132728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lang w:val="en-US" w:eastAsia="zh-CN"/>
        </w:rPr>
        <w:t>26009</w:t>
      </w:r>
      <w:r>
        <w:rPr>
          <w:rFonts w:hint="eastAsia" w:ascii="仿宋_GB2312" w:hAnsi="仿宋_GB2312" w:eastAsia="仿宋_GB2312" w:cs="仿宋_GB2312"/>
          <w:sz w:val="32"/>
          <w:szCs w:val="32"/>
        </w:rPr>
        <w:t>号地块出让起始价为人民币大写</w:t>
      </w:r>
      <w:r>
        <w:rPr>
          <w:rFonts w:hint="eastAsia" w:ascii="仿宋_GB2312" w:hAnsi="仿宋_GB2312" w:eastAsia="仿宋_GB2312" w:cs="仿宋_GB2312"/>
          <w:sz w:val="32"/>
          <w:szCs w:val="32"/>
          <w:lang w:val="en-US" w:eastAsia="zh-CN"/>
        </w:rPr>
        <w:t>壹佰捌拾玖</w:t>
      </w:r>
      <w:r>
        <w:rPr>
          <w:rFonts w:hint="eastAsia" w:ascii="仿宋_GB2312" w:hAnsi="仿宋_GB2312" w:eastAsia="仿宋_GB2312" w:cs="仿宋_GB2312"/>
          <w:sz w:val="32"/>
          <w:szCs w:val="32"/>
        </w:rPr>
        <w:t>万元整（￥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189</w:t>
      </w:r>
      <w:r>
        <w:rPr>
          <w:rFonts w:hint="eastAsia" w:ascii="仿宋_GB2312" w:hAnsi="仿宋_GB2312" w:eastAsia="仿宋_GB2312" w:cs="仿宋_GB2312"/>
          <w:sz w:val="32"/>
          <w:szCs w:val="32"/>
        </w:rPr>
        <w:t>0000.00</w:t>
      </w:r>
      <w:r>
        <w:rPr>
          <w:rFonts w:hint="eastAsia" w:ascii="仿宋_GB2312" w:hAnsi="仿宋_GB2312" w:eastAsia="仿宋_GB2312" w:cs="仿宋_GB2312"/>
          <w:sz w:val="32"/>
          <w:szCs w:val="32"/>
          <w:lang w:eastAsia="zh-CN"/>
        </w:rPr>
        <w:t>元</w:t>
      </w:r>
      <w:r>
        <w:rPr>
          <w:rFonts w:hint="eastAsia" w:ascii="仿宋_GB2312" w:hAnsi="仿宋_GB2312" w:eastAsia="仿宋_GB2312" w:cs="仿宋_GB2312"/>
          <w:sz w:val="32"/>
          <w:szCs w:val="32"/>
        </w:rPr>
        <w:t>），增价幅度为人民币壹万元或壹万元的整倍数。</w:t>
      </w:r>
    </w:p>
    <w:p w14:paraId="77D42D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、挂牌程序</w:t>
      </w:r>
    </w:p>
    <w:p w14:paraId="2813D4F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3840" w:firstLineChars="1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345458E8">
      <w:pPr>
        <w:spacing w:line="420" w:lineRule="exact"/>
        <w:ind w:firstLine="2640" w:firstLineChars="600"/>
        <w:rPr>
          <w:rFonts w:hint="eastAsia" w:ascii="黑体" w:hAnsi="宋体" w:eastAsia="黑体" w:cs="Times New Roman"/>
          <w:sz w:val="44"/>
          <w:szCs w:val="36"/>
        </w:rPr>
      </w:pPr>
    </w:p>
    <w:p w14:paraId="308354D5">
      <w:pPr>
        <w:spacing w:line="420" w:lineRule="exact"/>
        <w:rPr>
          <w:rFonts w:hint="eastAsia" w:ascii="黑体" w:hAnsi="宋体" w:eastAsia="黑体" w:cs="Times New Roman"/>
          <w:sz w:val="44"/>
          <w:szCs w:val="36"/>
        </w:rPr>
      </w:pPr>
    </w:p>
    <w:p w14:paraId="587FB27F">
      <w:pPr>
        <w:spacing w:line="420" w:lineRule="exact"/>
        <w:ind w:firstLine="3080" w:firstLineChars="700"/>
        <w:rPr>
          <w:rFonts w:hint="eastAsia" w:ascii="黑体" w:hAnsi="宋体" w:eastAsia="黑体" w:cs="Times New Roman"/>
          <w:sz w:val="44"/>
          <w:szCs w:val="36"/>
        </w:rPr>
      </w:pPr>
    </w:p>
    <w:p w14:paraId="3CD190D5">
      <w:pPr>
        <w:spacing w:line="420" w:lineRule="exact"/>
        <w:ind w:firstLine="3080" w:firstLineChars="700"/>
        <w:rPr>
          <w:rFonts w:hint="eastAsia" w:ascii="黑体" w:hAnsi="宋体" w:eastAsia="黑体" w:cs="Times New Roman"/>
          <w:sz w:val="44"/>
          <w:szCs w:val="36"/>
        </w:rPr>
      </w:pPr>
    </w:p>
    <w:p w14:paraId="79E0CB9D">
      <w:pPr>
        <w:spacing w:line="420" w:lineRule="exact"/>
        <w:ind w:firstLine="3080" w:firstLineChars="700"/>
        <w:rPr>
          <w:rFonts w:hint="eastAsia" w:ascii="黑体" w:hAnsi="宋体" w:eastAsia="黑体" w:cs="Times New Roman"/>
          <w:sz w:val="44"/>
          <w:szCs w:val="36"/>
        </w:rPr>
      </w:pPr>
    </w:p>
    <w:p w14:paraId="1EC2CBAB">
      <w:pPr>
        <w:spacing w:line="420" w:lineRule="exact"/>
        <w:ind w:firstLine="3080" w:firstLineChars="700"/>
        <w:rPr>
          <w:rFonts w:hint="eastAsia" w:ascii="黑体" w:hAnsi="宋体" w:eastAsia="黑体" w:cs="Times New Roman"/>
          <w:sz w:val="44"/>
          <w:szCs w:val="36"/>
        </w:rPr>
      </w:pPr>
    </w:p>
    <w:p w14:paraId="62C6CDDD">
      <w:pPr>
        <w:spacing w:line="420" w:lineRule="exact"/>
        <w:ind w:firstLine="3080" w:firstLineChars="700"/>
        <w:rPr>
          <w:rFonts w:hint="eastAsia" w:ascii="黑体" w:hAnsi="宋体" w:eastAsia="黑体" w:cs="Times New Roman"/>
          <w:sz w:val="44"/>
          <w:szCs w:val="36"/>
        </w:rPr>
      </w:pPr>
    </w:p>
    <w:p w14:paraId="0228C6E6">
      <w:pPr>
        <w:spacing w:line="420" w:lineRule="exact"/>
        <w:ind w:firstLine="3080" w:firstLineChars="700"/>
        <w:rPr>
          <w:rFonts w:hint="eastAsia" w:ascii="黑体" w:hAnsi="宋体" w:eastAsia="黑体" w:cs="Times New Roman"/>
          <w:sz w:val="44"/>
          <w:szCs w:val="36"/>
        </w:rPr>
      </w:pPr>
    </w:p>
    <w:p w14:paraId="2B71B17A">
      <w:pPr>
        <w:spacing w:line="420" w:lineRule="exact"/>
        <w:ind w:firstLine="3080" w:firstLineChars="700"/>
        <w:rPr>
          <w:rFonts w:hint="eastAsia" w:ascii="黑体" w:hAnsi="宋体" w:eastAsia="黑体" w:cs="Times New Roman"/>
          <w:sz w:val="44"/>
          <w:szCs w:val="36"/>
        </w:rPr>
      </w:pPr>
    </w:p>
    <w:p w14:paraId="1425924B">
      <w:pPr>
        <w:spacing w:line="420" w:lineRule="exact"/>
        <w:ind w:firstLine="3080" w:firstLineChars="700"/>
        <w:rPr>
          <w:rFonts w:hint="eastAsia" w:ascii="黑体" w:hAnsi="宋体" w:eastAsia="黑体" w:cs="Times New Roman"/>
          <w:sz w:val="44"/>
          <w:szCs w:val="36"/>
        </w:rPr>
      </w:pPr>
    </w:p>
    <w:p w14:paraId="19A286F6">
      <w:pPr>
        <w:spacing w:line="420" w:lineRule="exact"/>
        <w:ind w:firstLine="3080" w:firstLineChars="7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4</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15</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4</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28</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G26008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6459255C">
      <w:pPr>
        <w:spacing w:line="600" w:lineRule="exact"/>
        <w:ind w:firstLine="640" w:firstLineChars="200"/>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G26008</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15</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28</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250CFAFA">
      <w:pPr>
        <w:spacing w:line="500" w:lineRule="exact"/>
        <w:ind w:firstLine="3080" w:firstLineChars="700"/>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15</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4</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28</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三月二十六</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479185C"/>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A30508"/>
    <w:rsid w:val="0BEB4A20"/>
    <w:rsid w:val="0C7130C3"/>
    <w:rsid w:val="0CFD1647"/>
    <w:rsid w:val="0DA24C10"/>
    <w:rsid w:val="0DF06873"/>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EA207A8"/>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1520BA"/>
    <w:rsid w:val="3A7E0611"/>
    <w:rsid w:val="3AA70471"/>
    <w:rsid w:val="3BAC4F5E"/>
    <w:rsid w:val="3BFA2ECD"/>
    <w:rsid w:val="3C4436C3"/>
    <w:rsid w:val="3C53145D"/>
    <w:rsid w:val="3C5E0F0B"/>
    <w:rsid w:val="3C7C3BFA"/>
    <w:rsid w:val="3CA23805"/>
    <w:rsid w:val="3CCD2CF9"/>
    <w:rsid w:val="3D381929"/>
    <w:rsid w:val="3D58382E"/>
    <w:rsid w:val="3D9719CB"/>
    <w:rsid w:val="3DB935FA"/>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AE731A"/>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1E4371"/>
    <w:rsid w:val="538452A3"/>
    <w:rsid w:val="539D45B7"/>
    <w:rsid w:val="545654C8"/>
    <w:rsid w:val="54B13E89"/>
    <w:rsid w:val="54B35350"/>
    <w:rsid w:val="552F123F"/>
    <w:rsid w:val="553E76D4"/>
    <w:rsid w:val="55A0016C"/>
    <w:rsid w:val="55D867BA"/>
    <w:rsid w:val="56871235"/>
    <w:rsid w:val="56B44EFA"/>
    <w:rsid w:val="57415CA5"/>
    <w:rsid w:val="57424600"/>
    <w:rsid w:val="57687F56"/>
    <w:rsid w:val="57E5652D"/>
    <w:rsid w:val="583E1337"/>
    <w:rsid w:val="58D05981"/>
    <w:rsid w:val="597E09E7"/>
    <w:rsid w:val="599B59F9"/>
    <w:rsid w:val="5A0F2EE1"/>
    <w:rsid w:val="5A1C44FC"/>
    <w:rsid w:val="5A7E7BCB"/>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AE719FD"/>
    <w:rsid w:val="6B064398"/>
    <w:rsid w:val="6B4F4071"/>
    <w:rsid w:val="6B5F111E"/>
    <w:rsid w:val="6BD70BAA"/>
    <w:rsid w:val="6C376B54"/>
    <w:rsid w:val="6C44786E"/>
    <w:rsid w:val="6C4E7490"/>
    <w:rsid w:val="6C82010E"/>
    <w:rsid w:val="6CC4450B"/>
    <w:rsid w:val="6CD67D7A"/>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8715</Words>
  <Characters>9329</Characters>
  <Lines>0</Lines>
  <Paragraphs>0</Paragraphs>
  <TotalTime>10</TotalTime>
  <ScaleCrop>false</ScaleCrop>
  <LinksUpToDate>false</LinksUpToDate>
  <CharactersWithSpaces>9964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2026-03-25T08:09:00Z</cp:lastPrinted>
  <dcterms:modified xsi:type="dcterms:W3CDTF">2026-03-25T08:16:21Z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862B36C797664AD4BCF2CDD85098BB32</vt:lpwstr>
  </property>
  <property fmtid="{D5CDD505-2E9C-101B-9397-08002B2CF9AE}" pid="4" name="KSOTemplateDocerSaveRecord">
    <vt:lpwstr>eyJoZGlkIjoiZmYzMmM2NGUzMTIyMzBhY2ZhMDQ2ZGZkNGJhOTQ1NjkiLCJ1c2VySWQiOiIxNDE4NjQyNzI2In0=</vt:lpwstr>
  </property>
</Properties>
</file>